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DD" w:rsidRPr="0070330A" w:rsidRDefault="00FC10DD" w:rsidP="0070330A">
      <w:pPr>
        <w:spacing w:after="0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70330A">
        <w:rPr>
          <w:rFonts w:cstheme="minorHAnsi"/>
          <w:b/>
          <w:bCs/>
          <w:sz w:val="24"/>
          <w:szCs w:val="24"/>
        </w:rPr>
        <w:t xml:space="preserve">                                             </w:t>
      </w:r>
    </w:p>
    <w:p w:rsidR="00FC10DD" w:rsidRPr="0070330A" w:rsidRDefault="00FC10DD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42C74" w:rsidRPr="0070330A" w:rsidRDefault="00C42C74" w:rsidP="0070330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>TP n° 3 : Réalisation d’une coloration différentielle de Gram à partir des bactéries du yaourt</w:t>
      </w:r>
    </w:p>
    <w:p w:rsidR="00C42C74" w:rsidRPr="0070330A" w:rsidRDefault="00C42C74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42C74" w:rsidRPr="0070330A" w:rsidRDefault="00FC10DD" w:rsidP="00B446BA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>Principe</w:t>
      </w:r>
    </w:p>
    <w:p w:rsidR="00B446BA" w:rsidRPr="0070330A" w:rsidRDefault="00FC10DD" w:rsidP="00B446BA">
      <w:p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Dans la coloration de Gram il y a une réaction différente des bactéries qui s’explique par une différence dans la structure et la composition chimique de la paroi</w:t>
      </w:r>
      <w:r w:rsidR="00B446BA" w:rsidRPr="0070330A">
        <w:rPr>
          <w:rFonts w:cstheme="minorHAnsi"/>
          <w:sz w:val="24"/>
          <w:szCs w:val="24"/>
        </w:rPr>
        <w:t>.</w:t>
      </w:r>
    </w:p>
    <w:p w:rsidR="00B446BA" w:rsidRPr="0070330A" w:rsidRDefault="00B446BA" w:rsidP="00B446BA">
      <w:pPr>
        <w:spacing w:after="0"/>
        <w:jc w:val="both"/>
        <w:rPr>
          <w:rFonts w:cstheme="minorHAnsi"/>
          <w:sz w:val="24"/>
          <w:szCs w:val="24"/>
        </w:rPr>
      </w:pPr>
    </w:p>
    <w:p w:rsidR="00FC10DD" w:rsidRPr="0070330A" w:rsidRDefault="00B446BA" w:rsidP="00B446BA">
      <w:p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Les bactéries Gram -</w:t>
      </w:r>
      <w:r w:rsidR="00FC10DD" w:rsidRPr="0070330A">
        <w:rPr>
          <w:rFonts w:cstheme="minorHAnsi"/>
          <w:sz w:val="24"/>
          <w:szCs w:val="24"/>
        </w:rPr>
        <w:t xml:space="preserve"> possède une </w:t>
      </w:r>
      <w:r w:rsidRPr="0070330A">
        <w:rPr>
          <w:rFonts w:cstheme="minorHAnsi"/>
          <w:sz w:val="24"/>
          <w:szCs w:val="24"/>
        </w:rPr>
        <w:t>paroi peu épaisse composée d’une mince couche de peptidoglycane surmontée d’une membrane externe très riche en lipide. Quant aux bactéries Gram + elles ont uniquement une couche de peptidoglycane qui est environ 5 fois plus épaisse que celle des bactéries Gram – et elles sont dépourvues de composants lipides significatifs.</w:t>
      </w:r>
    </w:p>
    <w:p w:rsidR="00B446BA" w:rsidRPr="0070330A" w:rsidRDefault="00B446BA" w:rsidP="00B446BA">
      <w:pPr>
        <w:spacing w:after="0"/>
        <w:jc w:val="both"/>
        <w:rPr>
          <w:rFonts w:cstheme="minorHAnsi"/>
          <w:sz w:val="24"/>
          <w:szCs w:val="24"/>
        </w:rPr>
      </w:pPr>
    </w:p>
    <w:p w:rsidR="00B446BA" w:rsidRPr="0070330A" w:rsidRDefault="00B446BA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Dans la première étape de la coloration de Gram coloration le violet de Gentiane pénètre toutes les cellules bactériennes et colore leur cytoplasme </w:t>
      </w:r>
      <w:r w:rsidRPr="0070330A">
        <w:rPr>
          <w:rFonts w:cstheme="minorHAnsi"/>
          <w:b/>
          <w:bCs/>
          <w:sz w:val="24"/>
          <w:szCs w:val="24"/>
        </w:rPr>
        <w:t xml:space="preserve">(le siège de la coloration de Gram c’est le cytoplasme). </w:t>
      </w:r>
    </w:p>
    <w:p w:rsidR="00B446BA" w:rsidRPr="0070330A" w:rsidRDefault="00B446BA" w:rsidP="00E65F81">
      <w:p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En seconde étape le lugol (mordant) va renforcer la coloration violet</w:t>
      </w:r>
      <w:r w:rsidR="00B4362F" w:rsidRPr="0070330A">
        <w:rPr>
          <w:rFonts w:cstheme="minorHAnsi"/>
          <w:sz w:val="24"/>
          <w:szCs w:val="24"/>
        </w:rPr>
        <w:t>te</w:t>
      </w:r>
      <w:r w:rsidRPr="0070330A">
        <w:rPr>
          <w:rFonts w:cstheme="minorHAnsi"/>
          <w:sz w:val="24"/>
          <w:szCs w:val="24"/>
        </w:rPr>
        <w:t xml:space="preserve"> pour toutes les cellules bactériennes</w:t>
      </w:r>
      <w:r w:rsidR="00E65F81" w:rsidRPr="0070330A">
        <w:rPr>
          <w:rFonts w:cstheme="minorHAnsi"/>
          <w:sz w:val="24"/>
          <w:szCs w:val="24"/>
        </w:rPr>
        <w:t xml:space="preserve"> également</w:t>
      </w:r>
      <w:r w:rsidRPr="0070330A">
        <w:rPr>
          <w:rFonts w:cstheme="minorHAnsi"/>
          <w:sz w:val="24"/>
          <w:szCs w:val="24"/>
        </w:rPr>
        <w:t>.</w:t>
      </w:r>
    </w:p>
    <w:p w:rsidR="00B446BA" w:rsidRPr="0070330A" w:rsidRDefault="00B446BA" w:rsidP="009E2BE2">
      <w:p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 troisième étape qui est la décoloration à l’</w:t>
      </w:r>
      <w:r w:rsidR="009E2BE2">
        <w:rPr>
          <w:rFonts w:cstheme="minorHAnsi"/>
          <w:sz w:val="24"/>
          <w:szCs w:val="24"/>
        </w:rPr>
        <w:t>éthanol</w:t>
      </w:r>
      <w:r w:rsidR="00E65F81" w:rsidRPr="0070330A">
        <w:rPr>
          <w:rFonts w:cstheme="minorHAnsi"/>
          <w:sz w:val="24"/>
          <w:szCs w:val="24"/>
        </w:rPr>
        <w:t xml:space="preserve"> va permettre de déterminer si les bactéries sont Gram + ou Gram – selon la nature de la paroi bactérienne :</w:t>
      </w:r>
    </w:p>
    <w:p w:rsidR="00E65F81" w:rsidRPr="0070330A" w:rsidRDefault="00E65F81" w:rsidP="00B4362F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Pour les bactéries à Gram- l’éthanol va solubiliser les lipides de la membrane externe </w:t>
      </w:r>
      <w:r w:rsidR="00B4362F" w:rsidRPr="0070330A">
        <w:rPr>
          <w:rFonts w:cstheme="minorHAnsi"/>
          <w:sz w:val="24"/>
          <w:szCs w:val="24"/>
        </w:rPr>
        <w:t xml:space="preserve">       </w:t>
      </w:r>
      <w:r w:rsidRPr="0070330A">
        <w:rPr>
          <w:rFonts w:cstheme="minorHAnsi"/>
          <w:sz w:val="24"/>
          <w:szCs w:val="24"/>
        </w:rPr>
        <w:t>de la paroi formant des pores dans leur mince couche de peptidoglycane et pénétrant dans leur cytoplasme. Ce qui va permettre au violet de Gentiane de sortir à travers les pores. Les cellules deviennent invisibles et absorbent pendant l’étape suivant</w:t>
      </w:r>
      <w:r w:rsidR="00AF265A">
        <w:rPr>
          <w:rFonts w:cstheme="minorHAnsi"/>
          <w:sz w:val="24"/>
          <w:szCs w:val="24"/>
        </w:rPr>
        <w:t>e</w:t>
      </w:r>
      <w:r w:rsidRPr="0070330A">
        <w:rPr>
          <w:rFonts w:cstheme="minorHAnsi"/>
          <w:sz w:val="24"/>
          <w:szCs w:val="24"/>
        </w:rPr>
        <w:t xml:space="preserve"> de contre-coloration la fuschine qui les </w:t>
      </w:r>
      <w:r w:rsidR="00B4362F" w:rsidRPr="0070330A">
        <w:rPr>
          <w:rFonts w:cstheme="minorHAnsi"/>
          <w:sz w:val="24"/>
          <w:szCs w:val="24"/>
        </w:rPr>
        <w:t>colore</w:t>
      </w:r>
      <w:r w:rsidRPr="0070330A">
        <w:rPr>
          <w:rFonts w:cstheme="minorHAnsi"/>
          <w:sz w:val="24"/>
          <w:szCs w:val="24"/>
        </w:rPr>
        <w:t xml:space="preserve"> en rose.</w:t>
      </w:r>
    </w:p>
    <w:p w:rsidR="00B4362F" w:rsidRPr="0070330A" w:rsidRDefault="00B4362F" w:rsidP="009E2BE2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Cependant, chez les bactéries à Gram + il y a très peu de lipide</w:t>
      </w:r>
      <w:r w:rsidR="00AF265A">
        <w:rPr>
          <w:rFonts w:cstheme="minorHAnsi"/>
          <w:sz w:val="24"/>
          <w:szCs w:val="24"/>
        </w:rPr>
        <w:t xml:space="preserve"> donc ils sont moins</w:t>
      </w:r>
      <w:r w:rsidRPr="0070330A">
        <w:rPr>
          <w:rFonts w:cstheme="minorHAnsi"/>
          <w:sz w:val="24"/>
          <w:szCs w:val="24"/>
        </w:rPr>
        <w:t xml:space="preserve"> sensible à l’</w:t>
      </w:r>
      <w:r w:rsidR="009E2BE2">
        <w:rPr>
          <w:rFonts w:cstheme="minorHAnsi"/>
          <w:sz w:val="24"/>
          <w:szCs w:val="24"/>
        </w:rPr>
        <w:t>éthanol</w:t>
      </w:r>
      <w:r w:rsidR="00AF265A">
        <w:rPr>
          <w:rFonts w:cstheme="minorHAnsi"/>
          <w:sz w:val="24"/>
          <w:szCs w:val="24"/>
        </w:rPr>
        <w:t>, elles</w:t>
      </w:r>
      <w:r w:rsidRPr="0070330A">
        <w:rPr>
          <w:rFonts w:cstheme="minorHAnsi"/>
          <w:sz w:val="24"/>
          <w:szCs w:val="24"/>
        </w:rPr>
        <w:t xml:space="preserve"> restent imperméables à l’</w:t>
      </w:r>
      <w:r w:rsidR="009E2BE2">
        <w:rPr>
          <w:rFonts w:cstheme="minorHAnsi"/>
          <w:sz w:val="24"/>
          <w:szCs w:val="24"/>
        </w:rPr>
        <w:t>éthanol</w:t>
      </w:r>
      <w:r w:rsidRPr="0070330A">
        <w:rPr>
          <w:rFonts w:cstheme="minorHAnsi"/>
          <w:sz w:val="24"/>
          <w:szCs w:val="24"/>
        </w:rPr>
        <w:t xml:space="preserve"> et gardent la coloration violette initiale qui a été renforcer par le lugol.</w:t>
      </w:r>
    </w:p>
    <w:p w:rsidR="00B4362F" w:rsidRPr="0070330A" w:rsidRDefault="00B4362F" w:rsidP="00B4362F">
      <w:pPr>
        <w:pStyle w:val="Paragraphedeliste"/>
        <w:spacing w:after="0"/>
        <w:ind w:left="0"/>
        <w:jc w:val="both"/>
        <w:rPr>
          <w:rFonts w:cstheme="minorHAnsi"/>
          <w:sz w:val="24"/>
          <w:szCs w:val="24"/>
        </w:rPr>
      </w:pPr>
    </w:p>
    <w:p w:rsidR="00B4362F" w:rsidRPr="0070330A" w:rsidRDefault="00B4362F" w:rsidP="00B4362F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>Matériels utilisés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Anse de platine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Pipettes Pasteur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Eau distillée stérile ou eau physiologique stérile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Tube à essai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Lames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Pot de yaourt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Violet de Gentiane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Lugol</w:t>
      </w:r>
    </w:p>
    <w:p w:rsidR="00B4362F" w:rsidRPr="0070330A" w:rsidRDefault="009E2BE2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Éthanol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Fuschine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lastRenderedPageBreak/>
        <w:t>Papier buvard ou papier filtre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Huile de cèdre</w:t>
      </w:r>
    </w:p>
    <w:p w:rsidR="00B4362F" w:rsidRPr="0070330A" w:rsidRDefault="00B4362F" w:rsidP="00B4362F">
      <w:pPr>
        <w:pStyle w:val="Paragraphedeliste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70330A">
        <w:rPr>
          <w:rFonts w:cstheme="minorHAnsi"/>
          <w:sz w:val="24"/>
          <w:szCs w:val="24"/>
        </w:rPr>
        <w:t>Microscope optique</w:t>
      </w:r>
    </w:p>
    <w:p w:rsidR="00C42C74" w:rsidRPr="0070330A" w:rsidRDefault="00C42C74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42C74" w:rsidRPr="0070330A" w:rsidRDefault="004D0E2C" w:rsidP="00B446BA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3-</w:t>
      </w:r>
      <w:r w:rsidR="00C42C74" w:rsidRPr="0070330A">
        <w:rPr>
          <w:rFonts w:cstheme="minorHAnsi"/>
          <w:b/>
          <w:bCs/>
          <w:sz w:val="24"/>
          <w:szCs w:val="24"/>
        </w:rPr>
        <w:t>Technique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b/>
          <w:bCs/>
          <w:sz w:val="24"/>
          <w:szCs w:val="24"/>
        </w:rPr>
        <w:t xml:space="preserve"> </w:t>
      </w:r>
      <w:r w:rsidRPr="0070330A">
        <w:rPr>
          <w:rFonts w:cstheme="minorHAnsi"/>
          <w:sz w:val="24"/>
          <w:szCs w:val="24"/>
        </w:rPr>
        <w:t>Déposer au centre de la lame une goutte d’eau distillée ou d’eau physiologique stérile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Dissocier dans cette goutte une très petite quantité de </w:t>
      </w:r>
      <w:r w:rsidR="00AF265A">
        <w:rPr>
          <w:rFonts w:cstheme="minorHAnsi"/>
          <w:sz w:val="24"/>
          <w:szCs w:val="24"/>
        </w:rPr>
        <w:t>yaourt prélevée à l’ans</w:t>
      </w:r>
      <w:r w:rsidRPr="0070330A">
        <w:rPr>
          <w:rFonts w:cstheme="minorHAnsi"/>
          <w:sz w:val="24"/>
          <w:szCs w:val="24"/>
        </w:rPr>
        <w:t>e de platine de manière à former une émulsion bactérienne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Etaler l’émulsion bactérienne en un film mince et régulier par un mouvement circulaire ou de va et </w:t>
      </w:r>
      <w:r w:rsidR="00AF265A">
        <w:rPr>
          <w:rFonts w:cstheme="minorHAnsi"/>
          <w:sz w:val="24"/>
          <w:szCs w:val="24"/>
        </w:rPr>
        <w:t>viens régulier à l’aide de l’ans</w:t>
      </w:r>
      <w:r w:rsidRPr="0070330A">
        <w:rPr>
          <w:rFonts w:cstheme="minorHAnsi"/>
          <w:sz w:val="24"/>
          <w:szCs w:val="24"/>
        </w:rPr>
        <w:t>e de platine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Sécher la lame à la chaleur du bec bunsen. L’étalement et le séchage nous ont permis de préparer un frottis bactérien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Coloration primaire au violet de gentiane par la couverture de la lame pendant 1 min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Lavage à l’eau, sans éponger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Stabilisation de la coloration au lugol (agent mordant) par la couverture totale de la lame pendant 1 min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Lavage à l’eau pour éliminer l’</w:t>
      </w:r>
      <w:r w:rsidR="00226AE0" w:rsidRPr="0070330A">
        <w:rPr>
          <w:rFonts w:cstheme="minorHAnsi"/>
          <w:sz w:val="24"/>
          <w:szCs w:val="24"/>
        </w:rPr>
        <w:t>excédent</w:t>
      </w:r>
      <w:r w:rsidRPr="0070330A">
        <w:rPr>
          <w:rFonts w:cstheme="minorHAnsi"/>
          <w:sz w:val="24"/>
          <w:szCs w:val="24"/>
        </w:rPr>
        <w:t xml:space="preserve"> d’iode, sans éponger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Décoloration au goutte à goutte à l’éthanol à 95°C avec une légère agitation, jusqu’à élimination du colorant pendant 30 s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Lavage à l’eau, sans éponger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Contre coloration pendant 20 à 30 s par la couverture totale de la lame avec une solution de fuschine diluée à 10 % ; </w:t>
      </w:r>
    </w:p>
    <w:p w:rsidR="00C42C74" w:rsidRPr="00554583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 xml:space="preserve">Lavage à l’eau ; </w:t>
      </w:r>
    </w:p>
    <w:p w:rsidR="00554583" w:rsidRPr="0070330A" w:rsidRDefault="00554583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Sécher la lame entre 2 feuilles de papier buvard ou de papier filtre sans essuyer ;</w:t>
      </w:r>
    </w:p>
    <w:p w:rsidR="00C42C74" w:rsidRPr="0070330A" w:rsidRDefault="00C42C74" w:rsidP="00B446BA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Déposer une goutte d’huile de cèdre au centre de la lame ;</w:t>
      </w:r>
    </w:p>
    <w:p w:rsidR="00031CC7" w:rsidRPr="00F2575F" w:rsidRDefault="00C42C74" w:rsidP="00031CC7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0330A">
        <w:rPr>
          <w:rFonts w:cstheme="minorHAnsi"/>
          <w:sz w:val="24"/>
          <w:szCs w:val="24"/>
        </w:rPr>
        <w:t>Observer à l’objectif à immersion (x 100)</w:t>
      </w:r>
      <w:r w:rsidR="00031CC7">
        <w:rPr>
          <w:rFonts w:cstheme="minorHAnsi"/>
          <w:sz w:val="24"/>
          <w:szCs w:val="24"/>
        </w:rPr>
        <w:t>.</w:t>
      </w: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F2575F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Default="00F2575F" w:rsidP="00B446BA">
      <w:pPr>
        <w:jc w:val="both"/>
        <w:rPr>
          <w:rFonts w:cstheme="minorHAnsi"/>
          <w:b/>
          <w:bCs/>
          <w:sz w:val="24"/>
          <w:szCs w:val="24"/>
        </w:rPr>
      </w:pPr>
    </w:p>
    <w:p w:rsidR="00B7375E" w:rsidRDefault="004D0E2C" w:rsidP="00B446B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4-</w:t>
      </w:r>
      <w:r w:rsidR="0070330A" w:rsidRPr="0070330A">
        <w:rPr>
          <w:rFonts w:cstheme="minorHAnsi"/>
          <w:b/>
          <w:bCs/>
          <w:sz w:val="24"/>
          <w:szCs w:val="24"/>
        </w:rPr>
        <w:t>Observation</w:t>
      </w:r>
    </w:p>
    <w:p w:rsidR="00F2575F" w:rsidRDefault="00F2575F" w:rsidP="00F2575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776904" cy="2523393"/>
            <wp:effectExtent l="19050" t="0" r="439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420" t="24185" r="47714" b="42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04" cy="252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75F" w:rsidRDefault="00F2575F" w:rsidP="0046058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Figure 1. </w:t>
      </w:r>
      <w:r w:rsidR="0046058E">
        <w:rPr>
          <w:rFonts w:cstheme="minorHAnsi"/>
          <w:sz w:val="24"/>
          <w:szCs w:val="24"/>
        </w:rPr>
        <w:t>Observation des b</w:t>
      </w:r>
      <w:r>
        <w:rPr>
          <w:rFonts w:cstheme="minorHAnsi"/>
          <w:sz w:val="24"/>
          <w:szCs w:val="24"/>
        </w:rPr>
        <w:t xml:space="preserve">actéries du yaourt sous microscope optique </w:t>
      </w:r>
      <w:r w:rsidR="0046058E">
        <w:rPr>
          <w:rFonts w:cstheme="minorHAnsi"/>
          <w:sz w:val="24"/>
          <w:szCs w:val="24"/>
        </w:rPr>
        <w:t>(</w:t>
      </w:r>
      <w:r w:rsidR="001A02AC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100</w:t>
      </w:r>
      <w:r w:rsidR="0046058E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</w:t>
      </w:r>
      <w:r w:rsidR="0046058E">
        <w:rPr>
          <w:rFonts w:cstheme="minorHAnsi"/>
          <w:b/>
          <w:bCs/>
          <w:sz w:val="24"/>
          <w:szCs w:val="24"/>
        </w:rPr>
        <w:t>P </w:t>
      </w:r>
      <w:r w:rsidR="0046058E" w:rsidRPr="0046058E">
        <w:rPr>
          <w:rFonts w:cstheme="minorHAnsi"/>
          <w:sz w:val="24"/>
          <w:szCs w:val="24"/>
        </w:rPr>
        <w:t>:</w:t>
      </w:r>
      <w:r w:rsidR="0046058E">
        <w:rPr>
          <w:rFonts w:cstheme="minorHAnsi"/>
          <w:b/>
          <w:bCs/>
          <w:sz w:val="24"/>
          <w:szCs w:val="24"/>
        </w:rPr>
        <w:t xml:space="preserve"> </w:t>
      </w:r>
      <w:r w:rsidR="0046058E">
        <w:rPr>
          <w:rFonts w:cstheme="minorHAnsi"/>
          <w:sz w:val="24"/>
          <w:szCs w:val="24"/>
        </w:rPr>
        <w:t xml:space="preserve">protéines du yaourt ; </w:t>
      </w:r>
      <w:r w:rsidR="0046058E">
        <w:rPr>
          <w:rFonts w:cstheme="minorHAnsi"/>
          <w:b/>
          <w:bCs/>
          <w:sz w:val="24"/>
          <w:szCs w:val="24"/>
        </w:rPr>
        <w:t>B </w:t>
      </w:r>
      <w:r w:rsidR="0046058E" w:rsidRPr="0046058E">
        <w:rPr>
          <w:rFonts w:cstheme="minorHAnsi"/>
          <w:sz w:val="24"/>
          <w:szCs w:val="24"/>
        </w:rPr>
        <w:t xml:space="preserve">: </w:t>
      </w:r>
      <w:r w:rsidR="0046058E">
        <w:rPr>
          <w:rFonts w:cstheme="minorHAnsi"/>
          <w:sz w:val="24"/>
          <w:szCs w:val="24"/>
        </w:rPr>
        <w:t xml:space="preserve">Bacille ; </w:t>
      </w:r>
      <w:r w:rsidR="0046058E">
        <w:rPr>
          <w:rFonts w:cstheme="minorHAnsi"/>
          <w:b/>
          <w:bCs/>
          <w:sz w:val="24"/>
          <w:szCs w:val="24"/>
        </w:rPr>
        <w:t xml:space="preserve">C : </w:t>
      </w:r>
      <w:r w:rsidR="0046058E" w:rsidRPr="0046058E">
        <w:rPr>
          <w:rFonts w:cstheme="minorHAnsi"/>
          <w:sz w:val="24"/>
          <w:szCs w:val="24"/>
        </w:rPr>
        <w:t>coques.</w:t>
      </w:r>
      <w:r w:rsidR="0046058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(Grégory Canarella, 2011).</w:t>
      </w:r>
    </w:p>
    <w:p w:rsidR="00F2575F" w:rsidRPr="00CA5278" w:rsidRDefault="0046058E" w:rsidP="00CA527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4D0E2C">
        <w:rPr>
          <w:rFonts w:cstheme="minorHAnsi"/>
          <w:b/>
          <w:bCs/>
          <w:sz w:val="24"/>
          <w:szCs w:val="24"/>
        </w:rPr>
        <w:t>5-</w:t>
      </w:r>
      <w:r w:rsidR="00CA5278">
        <w:rPr>
          <w:rFonts w:cstheme="minorHAnsi"/>
          <w:b/>
          <w:bCs/>
          <w:sz w:val="24"/>
          <w:szCs w:val="24"/>
        </w:rPr>
        <w:t>Résultats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="00F2575F">
        <w:rPr>
          <w:rFonts w:cstheme="minorHAnsi"/>
          <w:b/>
          <w:bCs/>
          <w:sz w:val="24"/>
          <w:szCs w:val="24"/>
        </w:rPr>
        <w:t xml:space="preserve"> </w:t>
      </w:r>
    </w:p>
    <w:p w:rsidR="00031CC7" w:rsidRPr="00554583" w:rsidRDefault="0070330A" w:rsidP="00554583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Toutes les bactéries sont colorées uniquement en violet</w:t>
      </w:r>
      <w:r w:rsidR="002407C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Ces bactéries ont des formes en coques et en bacilles, les coques se présentent parfois isolés et d’autres fois </w:t>
      </w:r>
      <w:r w:rsidR="00226AE0">
        <w:rPr>
          <w:rFonts w:cstheme="minorHAnsi"/>
          <w:sz w:val="24"/>
          <w:szCs w:val="24"/>
        </w:rPr>
        <w:t>regroupées</w:t>
      </w:r>
      <w:r>
        <w:rPr>
          <w:rFonts w:cstheme="minorHAnsi"/>
          <w:sz w:val="24"/>
          <w:szCs w:val="24"/>
        </w:rPr>
        <w:t xml:space="preserve"> en chaines. Pour les coques il s’agit de </w:t>
      </w:r>
      <w:r w:rsidRPr="0083405E">
        <w:rPr>
          <w:rFonts w:cstheme="minorHAnsi"/>
          <w:b/>
          <w:bCs/>
          <w:i/>
          <w:iCs/>
          <w:sz w:val="24"/>
          <w:szCs w:val="24"/>
        </w:rPr>
        <w:t>Streptococcus thermophilus</w:t>
      </w:r>
      <w:r>
        <w:rPr>
          <w:rFonts w:cstheme="minorHAnsi"/>
          <w:sz w:val="24"/>
          <w:szCs w:val="24"/>
        </w:rPr>
        <w:t xml:space="preserve"> et pour les bacilles il s’agit de </w:t>
      </w:r>
      <w:r w:rsidRPr="0083405E">
        <w:rPr>
          <w:rFonts w:cstheme="minorHAnsi"/>
          <w:b/>
          <w:bCs/>
          <w:i/>
          <w:iCs/>
          <w:sz w:val="24"/>
          <w:szCs w:val="24"/>
        </w:rPr>
        <w:t>Lactobacillus bulgaricus</w:t>
      </w:r>
      <w:r w:rsidR="00AF265A">
        <w:rPr>
          <w:rFonts w:cstheme="minorHAnsi"/>
          <w:i/>
          <w:iCs/>
          <w:sz w:val="24"/>
          <w:szCs w:val="24"/>
        </w:rPr>
        <w:t>.</w:t>
      </w:r>
    </w:p>
    <w:p w:rsidR="00F2575F" w:rsidRDefault="00F2575F" w:rsidP="002407C8">
      <w:pPr>
        <w:jc w:val="both"/>
        <w:rPr>
          <w:rFonts w:cstheme="minorHAnsi"/>
          <w:b/>
          <w:bCs/>
          <w:sz w:val="24"/>
          <w:szCs w:val="24"/>
        </w:rPr>
      </w:pPr>
    </w:p>
    <w:p w:rsidR="00F2575F" w:rsidRPr="00F2575F" w:rsidRDefault="004D0E2C" w:rsidP="00F2575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6-</w:t>
      </w:r>
      <w:r w:rsidR="0070330A">
        <w:rPr>
          <w:rFonts w:cstheme="minorHAnsi"/>
          <w:b/>
          <w:bCs/>
          <w:sz w:val="24"/>
          <w:szCs w:val="24"/>
        </w:rPr>
        <w:t>Conclusion</w:t>
      </w:r>
    </w:p>
    <w:p w:rsidR="0070330A" w:rsidRDefault="0070330A" w:rsidP="00B446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le yaourt on a trouvé uniquement des bactéries à </w:t>
      </w:r>
      <w:r w:rsidRPr="0083405E">
        <w:rPr>
          <w:rFonts w:cstheme="minorHAnsi"/>
          <w:b/>
          <w:bCs/>
          <w:sz w:val="24"/>
          <w:szCs w:val="24"/>
        </w:rPr>
        <w:t>Gram +</w:t>
      </w:r>
      <w:r w:rsidR="00CA5278">
        <w:rPr>
          <w:rFonts w:cstheme="minorHAnsi"/>
          <w:sz w:val="24"/>
          <w:szCs w:val="24"/>
        </w:rPr>
        <w:t xml:space="preserve"> qui sont colorées en violet</w:t>
      </w:r>
      <w:r>
        <w:rPr>
          <w:rFonts w:cstheme="minorHAnsi"/>
          <w:sz w:val="24"/>
          <w:szCs w:val="24"/>
        </w:rPr>
        <w:t>.</w:t>
      </w:r>
    </w:p>
    <w:p w:rsidR="00CA5278" w:rsidRDefault="00CA5278" w:rsidP="00B446BA">
      <w:pPr>
        <w:jc w:val="both"/>
        <w:rPr>
          <w:rFonts w:cstheme="minorHAnsi"/>
          <w:sz w:val="24"/>
          <w:szCs w:val="24"/>
        </w:rPr>
      </w:pPr>
    </w:p>
    <w:p w:rsidR="00F2575F" w:rsidRDefault="0046058E" w:rsidP="00B446B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Références b</w:t>
      </w:r>
      <w:r w:rsidR="00F2575F">
        <w:rPr>
          <w:rFonts w:cstheme="minorHAnsi"/>
          <w:b/>
          <w:bCs/>
          <w:sz w:val="24"/>
          <w:szCs w:val="24"/>
        </w:rPr>
        <w:t>ibliographi</w:t>
      </w:r>
      <w:r>
        <w:rPr>
          <w:rFonts w:cstheme="minorHAnsi"/>
          <w:b/>
          <w:bCs/>
          <w:sz w:val="24"/>
          <w:szCs w:val="24"/>
        </w:rPr>
        <w:t>que</w:t>
      </w:r>
    </w:p>
    <w:p w:rsidR="00F2575F" w:rsidRDefault="00F2575F" w:rsidP="00B446BA">
      <w:pPr>
        <w:jc w:val="both"/>
      </w:pPr>
      <w:r>
        <w:rPr>
          <w:rFonts w:cstheme="minorHAnsi"/>
          <w:b/>
          <w:bCs/>
          <w:sz w:val="24"/>
          <w:szCs w:val="24"/>
        </w:rPr>
        <w:t xml:space="preserve">Grégory Canarella, 2011 : </w:t>
      </w:r>
      <w:hyperlink r:id="rId8" w:history="1">
        <w:r>
          <w:rPr>
            <w:rStyle w:val="Lienhypertexte"/>
          </w:rPr>
          <w:t>https://www.pedagogie.ac-aix-marseille.fr/jcms/c_10505452/fr/le-yaourt-observations-microscopiques</w:t>
        </w:r>
      </w:hyperlink>
    </w:p>
    <w:p w:rsidR="00715DB0" w:rsidRDefault="00715DB0" w:rsidP="00B446BA">
      <w:pPr>
        <w:jc w:val="both"/>
      </w:pPr>
    </w:p>
    <w:p w:rsidR="00715DB0" w:rsidRDefault="00715DB0" w:rsidP="00B446BA">
      <w:pPr>
        <w:jc w:val="both"/>
      </w:pPr>
    </w:p>
    <w:p w:rsidR="00715DB0" w:rsidRDefault="00715DB0" w:rsidP="00B446BA">
      <w:pPr>
        <w:jc w:val="both"/>
      </w:pPr>
    </w:p>
    <w:p w:rsidR="00715DB0" w:rsidRDefault="00715DB0" w:rsidP="00715DB0">
      <w:pPr>
        <w:jc w:val="right"/>
        <w:rPr>
          <w:b/>
          <w:bCs/>
        </w:rPr>
      </w:pPr>
      <w:r>
        <w:rPr>
          <w:b/>
          <w:bCs/>
        </w:rPr>
        <w:t>ALLIOUCH – KERBOUA C.</w:t>
      </w:r>
    </w:p>
    <w:p w:rsidR="00715DB0" w:rsidRPr="00715DB0" w:rsidRDefault="00715DB0" w:rsidP="00715DB0">
      <w:pPr>
        <w:jc w:val="right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>Chargée de TP de Microbiologie</w:t>
      </w:r>
    </w:p>
    <w:sectPr w:rsidR="00715DB0" w:rsidRPr="00715DB0" w:rsidSect="00B737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49" w:rsidRDefault="00555049" w:rsidP="00B4362F">
      <w:pPr>
        <w:spacing w:after="0" w:line="240" w:lineRule="auto"/>
      </w:pPr>
      <w:r>
        <w:separator/>
      </w:r>
    </w:p>
  </w:endnote>
  <w:endnote w:type="continuationSeparator" w:id="0">
    <w:p w:rsidR="00555049" w:rsidRDefault="00555049" w:rsidP="00B4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5313"/>
      <w:docPartObj>
        <w:docPartGallery w:val="Page Numbers (Bottom of Page)"/>
        <w:docPartUnique/>
      </w:docPartObj>
    </w:sdtPr>
    <w:sdtEndPr/>
    <w:sdtContent>
      <w:p w:rsidR="00B4362F" w:rsidRDefault="00F8262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9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362F" w:rsidRDefault="00B43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49" w:rsidRDefault="00555049" w:rsidP="00B4362F">
      <w:pPr>
        <w:spacing w:after="0" w:line="240" w:lineRule="auto"/>
      </w:pPr>
      <w:r>
        <w:separator/>
      </w:r>
    </w:p>
  </w:footnote>
  <w:footnote w:type="continuationSeparator" w:id="0">
    <w:p w:rsidR="00555049" w:rsidRDefault="00555049" w:rsidP="00B4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E0" w:rsidRPr="0070330A" w:rsidRDefault="00226AE0" w:rsidP="00226AE0">
    <w:pPr>
      <w:spacing w:after="0"/>
      <w:jc w:val="both"/>
      <w:rPr>
        <w:rFonts w:cstheme="minorHAnsi"/>
        <w:b/>
        <w:bCs/>
        <w:sz w:val="24"/>
        <w:szCs w:val="24"/>
      </w:rPr>
    </w:pPr>
    <w:r w:rsidRPr="0070330A">
      <w:rPr>
        <w:rFonts w:cstheme="minorHAnsi"/>
        <w:b/>
        <w:bCs/>
        <w:sz w:val="24"/>
        <w:szCs w:val="24"/>
      </w:rPr>
      <w:t xml:space="preserve">Université BADJI-MOKHTAR ANNABA                         </w:t>
    </w:r>
    <w:r>
      <w:rPr>
        <w:rFonts w:cstheme="minorHAnsi"/>
        <w:b/>
        <w:bCs/>
        <w:sz w:val="24"/>
        <w:szCs w:val="24"/>
      </w:rPr>
      <w:t xml:space="preserve">                                 </w:t>
    </w:r>
    <w:r w:rsidRPr="0070330A">
      <w:rPr>
        <w:rFonts w:cstheme="minorHAnsi"/>
        <w:b/>
        <w:bCs/>
        <w:sz w:val="24"/>
        <w:szCs w:val="24"/>
      </w:rPr>
      <w:t>TRAVAUX PRATIQUES</w:t>
    </w:r>
  </w:p>
  <w:p w:rsidR="00226AE0" w:rsidRPr="00226AE0" w:rsidRDefault="00226AE0" w:rsidP="00226AE0">
    <w:pPr>
      <w:spacing w:after="0"/>
      <w:jc w:val="both"/>
      <w:rPr>
        <w:rFonts w:cstheme="minorHAnsi"/>
        <w:b/>
        <w:bCs/>
        <w:sz w:val="24"/>
        <w:szCs w:val="24"/>
      </w:rPr>
    </w:pPr>
    <w:r w:rsidRPr="0070330A">
      <w:rPr>
        <w:rFonts w:cstheme="minorHAnsi"/>
        <w:b/>
        <w:bCs/>
        <w:sz w:val="24"/>
        <w:szCs w:val="24"/>
      </w:rPr>
      <w:t>Tronc commun SNV 2</w:t>
    </w:r>
    <w:r w:rsidRPr="0070330A">
      <w:rPr>
        <w:rFonts w:cstheme="minorHAnsi"/>
        <w:b/>
        <w:bCs/>
        <w:sz w:val="24"/>
        <w:szCs w:val="24"/>
        <w:vertAlign w:val="superscript"/>
      </w:rPr>
      <w:t>ème</w:t>
    </w:r>
    <w:r w:rsidRPr="0070330A">
      <w:rPr>
        <w:rFonts w:cstheme="minorHAnsi"/>
        <w:b/>
        <w:bCs/>
        <w:sz w:val="24"/>
        <w:szCs w:val="24"/>
      </w:rPr>
      <w:t xml:space="preserve"> année                                           </w:t>
    </w:r>
    <w:r>
      <w:rPr>
        <w:rFonts w:cstheme="minorHAnsi"/>
        <w:b/>
        <w:bCs/>
        <w:sz w:val="24"/>
        <w:szCs w:val="24"/>
      </w:rPr>
      <w:t xml:space="preserve">                           </w:t>
    </w:r>
    <w:r w:rsidRPr="0070330A">
      <w:rPr>
        <w:rFonts w:cstheme="minorHAnsi"/>
        <w:b/>
        <w:bCs/>
        <w:sz w:val="24"/>
        <w:szCs w:val="24"/>
      </w:rPr>
      <w:t>DE MICROBIOLOGIE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023B"/>
    <w:multiLevelType w:val="hybridMultilevel"/>
    <w:tmpl w:val="8564AC42"/>
    <w:lvl w:ilvl="0" w:tplc="E0C45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7145"/>
    <w:multiLevelType w:val="hybridMultilevel"/>
    <w:tmpl w:val="45ECBD52"/>
    <w:lvl w:ilvl="0" w:tplc="0E1A5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2167"/>
    <w:multiLevelType w:val="hybridMultilevel"/>
    <w:tmpl w:val="18CEDD28"/>
    <w:lvl w:ilvl="0" w:tplc="34B2F2D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2E76F8"/>
    <w:multiLevelType w:val="hybridMultilevel"/>
    <w:tmpl w:val="20A834C2"/>
    <w:lvl w:ilvl="0" w:tplc="658E81E6">
      <w:start w:val="1"/>
      <w:numFmt w:val="bullet"/>
      <w:lvlText w:val="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74"/>
    <w:rsid w:val="00031CC7"/>
    <w:rsid w:val="000E2EB6"/>
    <w:rsid w:val="001A02AC"/>
    <w:rsid w:val="00226AE0"/>
    <w:rsid w:val="002407C8"/>
    <w:rsid w:val="002C2A9E"/>
    <w:rsid w:val="003366F5"/>
    <w:rsid w:val="00345A5A"/>
    <w:rsid w:val="0046058E"/>
    <w:rsid w:val="004D0E2C"/>
    <w:rsid w:val="00554583"/>
    <w:rsid w:val="00555049"/>
    <w:rsid w:val="0070330A"/>
    <w:rsid w:val="00703894"/>
    <w:rsid w:val="00715DB0"/>
    <w:rsid w:val="00810987"/>
    <w:rsid w:val="0083405E"/>
    <w:rsid w:val="00892A0C"/>
    <w:rsid w:val="00930EAF"/>
    <w:rsid w:val="009466F0"/>
    <w:rsid w:val="009E2BE2"/>
    <w:rsid w:val="00A50410"/>
    <w:rsid w:val="00AF23FC"/>
    <w:rsid w:val="00AF265A"/>
    <w:rsid w:val="00B4362F"/>
    <w:rsid w:val="00B446BA"/>
    <w:rsid w:val="00B61E1C"/>
    <w:rsid w:val="00B7375E"/>
    <w:rsid w:val="00C42C74"/>
    <w:rsid w:val="00CA5278"/>
    <w:rsid w:val="00E65F81"/>
    <w:rsid w:val="00EA0EAD"/>
    <w:rsid w:val="00F2575F"/>
    <w:rsid w:val="00F8262E"/>
    <w:rsid w:val="00F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DDE43-3803-4C17-88DC-F9F3DA58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C7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C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62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62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5F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25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gogie.ac-aix-marseille.fr/jcms/c_10505452/fr/le-yaourt-observations-microscopiqu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BAC</cp:lastModifiedBy>
  <cp:revision>2</cp:revision>
  <dcterms:created xsi:type="dcterms:W3CDTF">2020-04-23T11:33:00Z</dcterms:created>
  <dcterms:modified xsi:type="dcterms:W3CDTF">2020-04-23T11:33:00Z</dcterms:modified>
</cp:coreProperties>
</file>