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 w:cstheme="minorHAnsi"/>
          <w:caps/>
          <w:sz w:val="28"/>
          <w:szCs w:val="28"/>
        </w:rPr>
        <w:id w:val="3171779"/>
        <w:docPartObj>
          <w:docPartGallery w:val="Cover Pages"/>
          <w:docPartUnique/>
        </w:docPartObj>
      </w:sdtPr>
      <w:sdtEndPr>
        <w:rPr>
          <w:caps w:val="0"/>
          <w:color w:val="365F91" w:themeColor="accent1" w:themeShade="BF"/>
          <w:lang w:eastAsia="fr-F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1A4AE2" w:rsidRPr="001A4AE2">
            <w:trPr>
              <w:trHeight w:val="2880"/>
              <w:jc w:val="center"/>
            </w:trPr>
            <w:sdt>
              <w:sdtPr>
                <w:rPr>
                  <w:rFonts w:eastAsiaTheme="majorEastAsia" w:cstheme="minorHAnsi"/>
                  <w:caps/>
                  <w:sz w:val="28"/>
                  <w:szCs w:val="28"/>
                </w:rPr>
                <w:alias w:val="Société"/>
                <w:id w:val="15524243"/>
                <w:placeholder>
                  <w:docPart w:val="7B8A2081B3604C0497E419B12621D0C1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1A4AE2" w:rsidRPr="001A4AE2" w:rsidRDefault="001A4AE2" w:rsidP="001A4AE2">
                    <w:pPr>
                      <w:pStyle w:val="Sansinterligne"/>
                      <w:spacing w:line="276" w:lineRule="auto"/>
                      <w:jc w:val="center"/>
                      <w:rPr>
                        <w:rFonts w:eastAsiaTheme="majorEastAsia" w:cstheme="minorHAnsi"/>
                        <w:caps/>
                        <w:sz w:val="28"/>
                        <w:szCs w:val="28"/>
                      </w:rPr>
                    </w:pPr>
                    <w:r w:rsidRPr="001A4AE2">
                      <w:rPr>
                        <w:rFonts w:eastAsiaTheme="majorEastAsia" w:cstheme="minorHAnsi"/>
                        <w:caps/>
                        <w:sz w:val="28"/>
                        <w:szCs w:val="28"/>
                      </w:rPr>
                      <w:t>[Tapez le nom de la société]</w:t>
                    </w:r>
                  </w:p>
                </w:tc>
              </w:sdtContent>
            </w:sdt>
          </w:tr>
          <w:tr w:rsidR="001A4AE2" w:rsidRPr="001A4AE2"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48"/>
                  <w:szCs w:val="48"/>
                </w:rPr>
                <w:alias w:val="Titre"/>
                <w:id w:val="15524250"/>
                <w:placeholder>
                  <w:docPart w:val="9833CD932FFD47EAABE03A8B5A86DD2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A4AE2" w:rsidRPr="001A4AE2" w:rsidRDefault="001A4AE2" w:rsidP="001A4AE2">
                    <w:pPr>
                      <w:pStyle w:val="Sansinterligne"/>
                      <w:spacing w:line="276" w:lineRule="auto"/>
                      <w:jc w:val="center"/>
                      <w:rPr>
                        <w:rFonts w:eastAsiaTheme="majorEastAsia" w:cstheme="minorHAnsi"/>
                        <w:sz w:val="28"/>
                        <w:szCs w:val="28"/>
                      </w:rPr>
                    </w:pPr>
                    <w:r w:rsidRPr="001A4AE2">
                      <w:rPr>
                        <w:rFonts w:eastAsiaTheme="majorEastAsia" w:cstheme="minorHAnsi"/>
                        <w:sz w:val="48"/>
                        <w:szCs w:val="48"/>
                      </w:rPr>
                      <w:t xml:space="preserve">Physiologie de la membrane cellulaire  </w:t>
                    </w:r>
                  </w:p>
                </w:tc>
              </w:sdtContent>
            </w:sdt>
          </w:tr>
          <w:tr w:rsidR="001A4AE2" w:rsidRPr="001A4AE2"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48"/>
                  <w:szCs w:val="48"/>
                </w:rPr>
                <w:alias w:val="Sous-titre"/>
                <w:id w:val="15524255"/>
                <w:placeholder>
                  <w:docPart w:val="0425130209FD49EEA8D674BB304721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A4AE2" w:rsidRPr="001A4AE2" w:rsidRDefault="001A4AE2" w:rsidP="001A4AE2">
                    <w:pPr>
                      <w:pStyle w:val="Sansinterligne"/>
                      <w:spacing w:line="276" w:lineRule="auto"/>
                      <w:jc w:val="center"/>
                      <w:rPr>
                        <w:rFonts w:eastAsiaTheme="majorEastAsia" w:cstheme="minorHAnsi"/>
                        <w:sz w:val="28"/>
                        <w:szCs w:val="28"/>
                      </w:rPr>
                    </w:pPr>
                    <w:r w:rsidRPr="001A4AE2">
                      <w:rPr>
                        <w:rFonts w:eastAsiaTheme="majorEastAsia" w:cstheme="minorHAnsi"/>
                        <w:sz w:val="48"/>
                        <w:szCs w:val="48"/>
                      </w:rPr>
                      <w:t xml:space="preserve">Electrophysiologie      </w:t>
                    </w:r>
                  </w:p>
                </w:tc>
              </w:sdtContent>
            </w:sdt>
          </w:tr>
          <w:tr w:rsidR="001A4AE2" w:rsidRPr="001A4AE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4AE2" w:rsidRPr="001A4AE2" w:rsidRDefault="001A4AE2" w:rsidP="001A4AE2">
                <w:pPr>
                  <w:pStyle w:val="Sansinterligne"/>
                  <w:spacing w:line="276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</w:p>
            </w:tc>
          </w:tr>
          <w:tr w:rsidR="001A4AE2" w:rsidRPr="001A4AE2">
            <w:trPr>
              <w:trHeight w:val="360"/>
              <w:jc w:val="center"/>
            </w:tr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alias w:val="Auteur"/>
                <w:id w:val="15524260"/>
                <w:placeholder>
                  <w:docPart w:val="E5044E7DF92E4C2F9E50105FA43B52B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1A4AE2" w:rsidRPr="001A4AE2" w:rsidRDefault="001A4AE2" w:rsidP="001A4AE2">
                    <w:pPr>
                      <w:pStyle w:val="Sansinterligne"/>
                      <w:spacing w:line="276" w:lineRule="auto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1A4AE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 xml:space="preserve">Dr Benahmed   </w:t>
                    </w:r>
                  </w:p>
                </w:tc>
              </w:sdtContent>
            </w:sdt>
          </w:tr>
          <w:tr w:rsidR="001A4AE2" w:rsidRPr="001A4AE2">
            <w:trPr>
              <w:trHeight w:val="360"/>
              <w:jc w:val="center"/>
            </w:trPr>
            <w:sdt>
              <w:sdtPr>
                <w:rPr>
                  <w:rFonts w:cstheme="minorHAnsi"/>
                  <w:b/>
                  <w:bCs/>
                  <w:sz w:val="28"/>
                  <w:szCs w:val="28"/>
                </w:rPr>
                <w:alias w:val="Date"/>
                <w:id w:val="516659546"/>
                <w:placeholder>
                  <w:docPart w:val="6CB6C98E4AC148A9AEC7C06A00EFAB87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1A4AE2" w:rsidRPr="001A4AE2" w:rsidRDefault="001A4AE2" w:rsidP="001A4AE2">
                    <w:pPr>
                      <w:pStyle w:val="Sansinterligne"/>
                      <w:spacing w:line="276" w:lineRule="auto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</w:pPr>
                    <w:r w:rsidRPr="001A4AE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201</w:t>
                    </w: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9</w:t>
                    </w:r>
                    <w:r w:rsidRPr="001A4AE2"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-20</w:t>
                    </w: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</w:rPr>
                      <w:t>20</w:t>
                    </w:r>
                  </w:p>
                </w:tc>
              </w:sdtContent>
            </w:sdt>
          </w:tr>
        </w:tbl>
        <w:p w:rsidR="001A4AE2" w:rsidRPr="001A4AE2" w:rsidRDefault="001A4AE2" w:rsidP="001A4AE2">
          <w:pPr>
            <w:rPr>
              <w:rFonts w:cstheme="minorHAnsi"/>
              <w:sz w:val="28"/>
              <w:szCs w:val="28"/>
            </w:rPr>
          </w:pPr>
        </w:p>
        <w:p w:rsidR="001A4AE2" w:rsidRPr="001A4AE2" w:rsidRDefault="001A4AE2" w:rsidP="001A4AE2">
          <w:pPr>
            <w:rPr>
              <w:rFonts w:cstheme="minorHAnsi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  <w:p w:rsidR="001A4AE2" w:rsidRPr="001A4AE2" w:rsidRDefault="001A4AE2" w:rsidP="001A4AE2">
          <w:pPr>
            <w:rPr>
              <w:rFonts w:eastAsiaTheme="majorEastAsia" w:cstheme="minorHAnsi"/>
              <w:b/>
              <w:bCs/>
              <w:color w:val="365F91" w:themeColor="accent1" w:themeShade="BF"/>
              <w:sz w:val="28"/>
              <w:szCs w:val="28"/>
            </w:rPr>
          </w:pPr>
        </w:p>
      </w:sdtContent>
    </w:sdt>
    <w:p w:rsidR="00A71C09" w:rsidRPr="001A4AE2" w:rsidRDefault="00A71C09" w:rsidP="001A4AE2">
      <w:pPr>
        <w:pStyle w:val="Titre1"/>
        <w:numPr>
          <w:ilvl w:val="0"/>
          <w:numId w:val="1"/>
        </w:numPr>
        <w:jc w:val="both"/>
        <w:rPr>
          <w:rStyle w:val="Emphaseintense"/>
          <w:rFonts w:asciiTheme="minorHAnsi" w:eastAsiaTheme="majorEastAsia" w:hAnsiTheme="minorHAnsi" w:cstheme="minorHAnsi"/>
          <w:bCs/>
          <w:i w:val="0"/>
          <w:iCs w:val="0"/>
          <w:color w:val="002060"/>
          <w:sz w:val="28"/>
          <w:szCs w:val="28"/>
        </w:rPr>
      </w:pPr>
      <w:r w:rsidRPr="001A4AE2">
        <w:rPr>
          <w:rStyle w:val="Emphaseintense"/>
          <w:rFonts w:asciiTheme="minorHAnsi" w:eastAsiaTheme="majorEastAsia" w:hAnsiTheme="minorHAnsi" w:cstheme="minorHAnsi"/>
          <w:color w:val="002060"/>
          <w:sz w:val="28"/>
          <w:szCs w:val="28"/>
        </w:rPr>
        <w:lastRenderedPageBreak/>
        <w:t xml:space="preserve">INTRODUCTION </w:t>
      </w:r>
    </w:p>
    <w:p w:rsidR="00A71C09" w:rsidRPr="001A4AE2" w:rsidRDefault="00A71C09" w:rsidP="001A4AE2">
      <w:p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Les neurones</w:t>
      </w:r>
      <w:r w:rsidRPr="001A4AE2">
        <w:rPr>
          <w:rFonts w:cstheme="minorHAnsi"/>
          <w:sz w:val="28"/>
          <w:szCs w:val="28"/>
        </w:rPr>
        <w:t xml:space="preserve"> qui représentent l’unité fonctionnelle </w:t>
      </w:r>
      <w:r w:rsidRPr="001A4AE2">
        <w:rPr>
          <w:rFonts w:cstheme="minorHAnsi"/>
          <w:b/>
          <w:sz w:val="28"/>
          <w:szCs w:val="28"/>
        </w:rPr>
        <w:t>de transfert d’information</w:t>
      </w:r>
      <w:r w:rsidRPr="001A4AE2">
        <w:rPr>
          <w:rFonts w:cstheme="minorHAnsi"/>
          <w:sz w:val="28"/>
          <w:szCs w:val="28"/>
        </w:rPr>
        <w:t xml:space="preserve"> au niveau du système nerveux.</w:t>
      </w:r>
    </w:p>
    <w:p w:rsidR="00A71C09" w:rsidRPr="001A4AE2" w:rsidRDefault="00A71C09" w:rsidP="001A4AE2">
      <w:pPr>
        <w:pStyle w:val="Titre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iCs/>
          <w:color w:val="002060"/>
          <w:sz w:val="28"/>
          <w:szCs w:val="28"/>
        </w:rPr>
      </w:pPr>
      <w:r w:rsidRPr="001A4AE2">
        <w:rPr>
          <w:rStyle w:val="Emphaseintense"/>
          <w:rFonts w:asciiTheme="minorHAnsi" w:eastAsiaTheme="majorEastAsia" w:hAnsiTheme="minorHAnsi" w:cstheme="minorHAnsi"/>
          <w:color w:val="002060"/>
          <w:sz w:val="28"/>
          <w:szCs w:val="28"/>
        </w:rPr>
        <w:t>STRUCTURE DU NEURONE </w:t>
      </w:r>
    </w:p>
    <w:p w:rsidR="00A71C09" w:rsidRPr="001A4AE2" w:rsidRDefault="00A71C09" w:rsidP="001A4AE2">
      <w:pPr>
        <w:jc w:val="both"/>
        <w:rPr>
          <w:rFonts w:cstheme="minorHAnsi"/>
          <w:b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 neurone est composé d’un </w:t>
      </w:r>
      <w:r w:rsidRPr="001A4AE2">
        <w:rPr>
          <w:rFonts w:cstheme="minorHAnsi"/>
          <w:b/>
          <w:sz w:val="28"/>
          <w:szCs w:val="28"/>
        </w:rPr>
        <w:t>corps cellulaire (ou soma)</w:t>
      </w:r>
      <w:r w:rsidRPr="001A4AE2">
        <w:rPr>
          <w:rFonts w:cstheme="minorHAnsi"/>
          <w:sz w:val="28"/>
          <w:szCs w:val="28"/>
        </w:rPr>
        <w:t xml:space="preserve"> et de deux </w:t>
      </w:r>
      <w:r w:rsidRPr="001A4AE2">
        <w:rPr>
          <w:rFonts w:cstheme="minorHAnsi"/>
          <w:b/>
          <w:sz w:val="28"/>
          <w:szCs w:val="28"/>
        </w:rPr>
        <w:t xml:space="preserve">types </w:t>
      </w:r>
      <w:r w:rsidRPr="001A4AE2">
        <w:rPr>
          <w:rFonts w:cstheme="minorHAnsi"/>
          <w:bCs/>
          <w:sz w:val="28"/>
          <w:szCs w:val="28"/>
        </w:rPr>
        <w:t>prolongements</w:t>
      </w:r>
      <w:r w:rsidRPr="001A4AE2">
        <w:rPr>
          <w:rFonts w:cstheme="minorHAnsi"/>
          <w:b/>
          <w:sz w:val="28"/>
          <w:szCs w:val="28"/>
        </w:rPr>
        <w:t> </w:t>
      </w:r>
      <w:r w:rsidRPr="001A4AE2">
        <w:rPr>
          <w:rFonts w:cstheme="minorHAnsi"/>
          <w:sz w:val="28"/>
          <w:szCs w:val="28"/>
        </w:rPr>
        <w:t xml:space="preserve">; </w:t>
      </w:r>
      <w:r w:rsidRPr="001A4AE2">
        <w:rPr>
          <w:rFonts w:cstheme="minorHAnsi"/>
          <w:b/>
          <w:sz w:val="28"/>
          <w:szCs w:val="28"/>
        </w:rPr>
        <w:t>les dendrites</w:t>
      </w:r>
      <w:r w:rsidRPr="001A4AE2">
        <w:rPr>
          <w:rFonts w:cstheme="minorHAnsi"/>
          <w:sz w:val="28"/>
          <w:szCs w:val="28"/>
        </w:rPr>
        <w:t>, et</w:t>
      </w:r>
      <w:r w:rsidRPr="001A4AE2">
        <w:rPr>
          <w:rFonts w:cstheme="minorHAnsi"/>
          <w:b/>
          <w:sz w:val="28"/>
          <w:szCs w:val="28"/>
        </w:rPr>
        <w:t xml:space="preserve"> l’axone. </w:t>
      </w:r>
    </w:p>
    <w:p w:rsidR="00A71C09" w:rsidRPr="001A4AE2" w:rsidRDefault="00A71C09" w:rsidP="001A4AE2">
      <w:pPr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</w:rPr>
      </w:pPr>
      <w:r w:rsidRPr="001A4AE2"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  <w:t>Le corps cellulaire (soma) :</w:t>
      </w:r>
      <w:r w:rsidRPr="001A4AE2">
        <w:rPr>
          <w:rFonts w:cstheme="minorHAnsi"/>
          <w:sz w:val="28"/>
          <w:szCs w:val="28"/>
        </w:rPr>
        <w:t xml:space="preserve"> le soma  contient ;</w:t>
      </w:r>
    </w:p>
    <w:p w:rsidR="00A71C09" w:rsidRPr="001A4AE2" w:rsidRDefault="00A71C09" w:rsidP="001A4AE2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 </w:t>
      </w:r>
      <w:r w:rsidRPr="001A4AE2">
        <w:rPr>
          <w:rFonts w:cstheme="minorHAnsi"/>
          <w:b/>
          <w:bCs/>
          <w:sz w:val="28"/>
          <w:szCs w:val="28"/>
        </w:rPr>
        <w:t>cytoplasme </w:t>
      </w:r>
      <w:r w:rsidRPr="001A4AE2">
        <w:rPr>
          <w:rFonts w:cstheme="minorHAnsi"/>
          <w:sz w:val="28"/>
          <w:szCs w:val="28"/>
        </w:rPr>
        <w:t xml:space="preserve">; dans lequel baigne les organites habituels ; réticulum endoplasmique, appareils de Golgi, des mitochondries, et les éléments du cytosquelette ; qui sont  </w:t>
      </w:r>
      <w:r w:rsidRPr="001A4AE2">
        <w:rPr>
          <w:rFonts w:cstheme="minorHAnsi"/>
          <w:b/>
          <w:sz w:val="28"/>
          <w:szCs w:val="28"/>
        </w:rPr>
        <w:t>microtubules</w:t>
      </w:r>
      <w:r w:rsidRPr="001A4AE2">
        <w:rPr>
          <w:rFonts w:cstheme="minorHAnsi"/>
          <w:sz w:val="28"/>
          <w:szCs w:val="28"/>
        </w:rPr>
        <w:t xml:space="preserve">, des </w:t>
      </w:r>
      <w:proofErr w:type="spellStart"/>
      <w:r w:rsidRPr="001A4AE2">
        <w:rPr>
          <w:rFonts w:cstheme="minorHAnsi"/>
          <w:b/>
          <w:sz w:val="28"/>
          <w:szCs w:val="28"/>
        </w:rPr>
        <w:t>microfilments</w:t>
      </w:r>
      <w:proofErr w:type="spellEnd"/>
      <w:r w:rsidRPr="001A4AE2">
        <w:rPr>
          <w:rFonts w:cstheme="minorHAnsi"/>
          <w:sz w:val="28"/>
          <w:szCs w:val="28"/>
        </w:rPr>
        <w:t xml:space="preserve"> et des </w:t>
      </w:r>
      <w:proofErr w:type="spellStart"/>
      <w:r w:rsidRPr="001A4AE2">
        <w:rPr>
          <w:rFonts w:cstheme="minorHAnsi"/>
          <w:b/>
          <w:sz w:val="28"/>
          <w:szCs w:val="28"/>
        </w:rPr>
        <w:t>neurofilaments</w:t>
      </w:r>
      <w:proofErr w:type="spellEnd"/>
      <w:r w:rsidRPr="001A4AE2">
        <w:rPr>
          <w:rFonts w:cstheme="minorHAnsi"/>
          <w:sz w:val="28"/>
          <w:szCs w:val="28"/>
        </w:rPr>
        <w:t xml:space="preserve">. </w:t>
      </w:r>
    </w:p>
    <w:p w:rsidR="00A71C09" w:rsidRPr="001A4AE2" w:rsidRDefault="00A71C09" w:rsidP="001A4AE2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bCs/>
          <w:sz w:val="28"/>
          <w:szCs w:val="28"/>
        </w:rPr>
        <w:t xml:space="preserve">Et un noyau ; </w:t>
      </w:r>
      <w:r w:rsidRPr="001A4AE2">
        <w:rPr>
          <w:rFonts w:cstheme="minorHAnsi"/>
          <w:sz w:val="28"/>
          <w:szCs w:val="28"/>
        </w:rPr>
        <w:t>qui contient les chromosomes nécessaires à la synthèse des protéines neuronales.</w:t>
      </w:r>
    </w:p>
    <w:p w:rsidR="00A71C09" w:rsidRPr="001A4AE2" w:rsidRDefault="00A71C09" w:rsidP="001A4AE2">
      <w:pPr>
        <w:numPr>
          <w:ilvl w:val="0"/>
          <w:numId w:val="2"/>
        </w:numPr>
        <w:spacing w:after="0"/>
        <w:jc w:val="both"/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</w:pPr>
      <w:r w:rsidRPr="001A4AE2"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  <w:t>Les dendrites :</w:t>
      </w:r>
      <w:r w:rsidRPr="001A4AE2">
        <w:rPr>
          <w:rFonts w:cstheme="minorHAnsi"/>
          <w:sz w:val="28"/>
          <w:szCs w:val="28"/>
        </w:rPr>
        <w:t xml:space="preserve"> les dendrites sont </w:t>
      </w:r>
      <w:r w:rsidRPr="001A4AE2">
        <w:rPr>
          <w:rFonts w:cstheme="minorHAnsi"/>
          <w:b/>
          <w:sz w:val="28"/>
          <w:szCs w:val="28"/>
        </w:rPr>
        <w:t>des prolongements</w:t>
      </w:r>
      <w:r w:rsidRPr="001A4AE2">
        <w:rPr>
          <w:rFonts w:cstheme="minorHAnsi"/>
          <w:sz w:val="28"/>
          <w:szCs w:val="28"/>
        </w:rPr>
        <w:t xml:space="preserve"> de longueurs variables, de diamètre qui  diminue en allant corps cellulaire vers l’extrémité distale. </w:t>
      </w:r>
    </w:p>
    <w:p w:rsidR="00A71C09" w:rsidRPr="001A4AE2" w:rsidRDefault="00A71C09" w:rsidP="001A4AE2">
      <w:pPr>
        <w:spacing w:after="0"/>
        <w:ind w:left="360"/>
        <w:jc w:val="both"/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Les dendrites </w:t>
      </w:r>
      <w:r w:rsidRPr="001A4AE2">
        <w:rPr>
          <w:rFonts w:cstheme="minorHAnsi"/>
          <w:b/>
          <w:bCs/>
          <w:sz w:val="28"/>
          <w:szCs w:val="28"/>
        </w:rPr>
        <w:t>reçoivent</w:t>
      </w:r>
      <w:r w:rsidRPr="001A4AE2">
        <w:rPr>
          <w:rFonts w:cstheme="minorHAnsi"/>
          <w:sz w:val="28"/>
          <w:szCs w:val="28"/>
        </w:rPr>
        <w:t xml:space="preserve"> les connexions provenant d’autres neurones ; par l’intermédiaire des épines dendritiques. </w:t>
      </w:r>
    </w:p>
    <w:p w:rsidR="00A71C09" w:rsidRPr="001A4AE2" w:rsidRDefault="00A71C09" w:rsidP="001A4AE2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Les dendrites </w:t>
      </w:r>
      <w:r w:rsidRPr="001A4AE2">
        <w:rPr>
          <w:rFonts w:cstheme="minorHAnsi"/>
          <w:b/>
          <w:sz w:val="28"/>
          <w:szCs w:val="28"/>
        </w:rPr>
        <w:t>conduisent</w:t>
      </w:r>
      <w:r w:rsidRPr="001A4AE2">
        <w:rPr>
          <w:rFonts w:cstheme="minorHAnsi"/>
          <w:sz w:val="28"/>
          <w:szCs w:val="28"/>
        </w:rPr>
        <w:t xml:space="preserve"> </w:t>
      </w:r>
      <w:r w:rsidRPr="001A4AE2">
        <w:rPr>
          <w:rFonts w:cstheme="minorHAnsi"/>
          <w:b/>
          <w:sz w:val="28"/>
          <w:szCs w:val="28"/>
        </w:rPr>
        <w:t>de façon essentiellement «passive» les phénomènes électriques depuis leur extrémité distale vers le corps cellulaire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pStyle w:val="Paragraphedeliste"/>
        <w:numPr>
          <w:ilvl w:val="0"/>
          <w:numId w:val="4"/>
        </w:numPr>
        <w:spacing w:after="0"/>
        <w:jc w:val="both"/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Les dendrites et le soma sont des structures spécialisés dans </w:t>
      </w:r>
      <w:r w:rsidRPr="001A4AE2">
        <w:rPr>
          <w:rFonts w:cstheme="minorHAnsi"/>
          <w:b/>
          <w:sz w:val="28"/>
          <w:szCs w:val="28"/>
        </w:rPr>
        <w:t>la réception</w:t>
      </w:r>
      <w:r w:rsidRPr="001A4AE2">
        <w:rPr>
          <w:rFonts w:cstheme="minorHAnsi"/>
          <w:sz w:val="28"/>
          <w:szCs w:val="28"/>
        </w:rPr>
        <w:t xml:space="preserve"> de  </w:t>
      </w:r>
      <w:r w:rsidRPr="001A4AE2">
        <w:rPr>
          <w:rFonts w:cstheme="minorHAnsi"/>
          <w:b/>
          <w:sz w:val="28"/>
          <w:szCs w:val="28"/>
        </w:rPr>
        <w:t>d'intégration</w:t>
      </w:r>
      <w:r w:rsidRPr="001A4AE2">
        <w:rPr>
          <w:rFonts w:cstheme="minorHAnsi"/>
          <w:sz w:val="28"/>
          <w:szCs w:val="28"/>
        </w:rPr>
        <w:t xml:space="preserve">  des informations en provenance des autres neurones.</w:t>
      </w:r>
    </w:p>
    <w:p w:rsidR="00A71C09" w:rsidRPr="001A4AE2" w:rsidRDefault="00A71C09" w:rsidP="001A4AE2">
      <w:pPr>
        <w:pStyle w:val="Paragraphedeliste"/>
        <w:spacing w:after="0"/>
        <w:jc w:val="both"/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</w:pPr>
    </w:p>
    <w:p w:rsidR="00A71C09" w:rsidRPr="001A4AE2" w:rsidRDefault="00A71C09" w:rsidP="001A4AE2">
      <w:pPr>
        <w:numPr>
          <w:ilvl w:val="0"/>
          <w:numId w:val="2"/>
        </w:numPr>
        <w:spacing w:after="0"/>
        <w:jc w:val="both"/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</w:pPr>
      <w:r w:rsidRPr="001A4AE2">
        <w:rPr>
          <w:rFonts w:eastAsiaTheme="majorEastAsia" w:cstheme="minorHAnsi"/>
          <w:i/>
          <w:iCs/>
          <w:color w:val="002060"/>
          <w:spacing w:val="15"/>
          <w:sz w:val="28"/>
          <w:szCs w:val="28"/>
        </w:rPr>
        <w:t>L’axone :</w:t>
      </w:r>
      <w:r w:rsidRPr="001A4AE2">
        <w:rPr>
          <w:rFonts w:cstheme="minorHAnsi"/>
          <w:sz w:val="28"/>
          <w:szCs w:val="28"/>
        </w:rPr>
        <w:t xml:space="preserve"> l’axone prend  son origine au niveau </w:t>
      </w:r>
      <w:r w:rsidRPr="001A4AE2">
        <w:rPr>
          <w:rFonts w:cstheme="minorHAnsi"/>
          <w:b/>
          <w:sz w:val="28"/>
          <w:szCs w:val="28"/>
        </w:rPr>
        <w:t>du cône axonal</w:t>
      </w:r>
      <w:r w:rsidRPr="001A4AE2">
        <w:rPr>
          <w:rFonts w:cstheme="minorHAnsi"/>
          <w:sz w:val="28"/>
          <w:szCs w:val="28"/>
        </w:rPr>
        <w:t xml:space="preserve"> (cône d’implantation). L’axone a un diamètre régulier (reste constant). Sa longueur est variable selon le type de neurone (peuvent  atteindre jusqu'à un mètre de longueur).</w:t>
      </w:r>
    </w:p>
    <w:p w:rsidR="00A71C09" w:rsidRPr="001A4AE2" w:rsidRDefault="00A71C09" w:rsidP="001A4AE2">
      <w:pPr>
        <w:ind w:left="36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La partie terminale de l’axone présente des arborisations dont  chacune se  termine  par une région spécialisée nommé </w:t>
      </w:r>
      <w:r w:rsidRPr="001A4AE2">
        <w:rPr>
          <w:rFonts w:cstheme="minorHAnsi"/>
          <w:b/>
          <w:sz w:val="28"/>
          <w:szCs w:val="28"/>
        </w:rPr>
        <w:t>bouton synaptique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ind w:left="36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L’axone, conduit l’information de façon « active »sous forme de potentiel d’action (PA)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ind w:left="36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lastRenderedPageBreak/>
        <w:t xml:space="preserve">Certains axones sont entourés alors d’une gaine de myéline (axones </w:t>
      </w:r>
      <w:r w:rsidRPr="001A4AE2">
        <w:rPr>
          <w:rFonts w:cstheme="minorHAnsi"/>
          <w:b/>
          <w:sz w:val="28"/>
          <w:szCs w:val="28"/>
        </w:rPr>
        <w:t>myélinisés)</w:t>
      </w:r>
      <w:r w:rsidRPr="001A4AE2">
        <w:rPr>
          <w:rFonts w:cstheme="minorHAnsi"/>
          <w:sz w:val="28"/>
          <w:szCs w:val="28"/>
        </w:rPr>
        <w:t xml:space="preserve">, d’autres axones </w:t>
      </w:r>
      <w:r w:rsidRPr="001A4AE2">
        <w:rPr>
          <w:rFonts w:cstheme="minorHAnsi"/>
          <w:sz w:val="28"/>
          <w:szCs w:val="28"/>
          <w:u w:val="single"/>
        </w:rPr>
        <w:t>ne sont pas</w:t>
      </w:r>
      <w:r w:rsidRPr="001A4AE2">
        <w:rPr>
          <w:rFonts w:cstheme="minorHAnsi"/>
          <w:sz w:val="28"/>
          <w:szCs w:val="28"/>
        </w:rPr>
        <w:t xml:space="preserve"> entourés d’une gaine de myéline (axones amyéliniques ou </w:t>
      </w:r>
      <w:r w:rsidRPr="001A4AE2">
        <w:rPr>
          <w:rFonts w:cstheme="minorHAnsi"/>
          <w:b/>
          <w:sz w:val="28"/>
          <w:szCs w:val="28"/>
        </w:rPr>
        <w:t>non myélinisés</w:t>
      </w:r>
      <w:r w:rsidRPr="001A4AE2">
        <w:rPr>
          <w:rFonts w:cstheme="minorHAnsi"/>
          <w:sz w:val="28"/>
          <w:szCs w:val="28"/>
        </w:rPr>
        <w:t>).</w:t>
      </w:r>
    </w:p>
    <w:p w:rsidR="00B61296" w:rsidRPr="001A4AE2" w:rsidRDefault="00A71C09" w:rsidP="001A4AE2">
      <w:pPr>
        <w:pStyle w:val="Titre1"/>
        <w:numPr>
          <w:ilvl w:val="0"/>
          <w:numId w:val="1"/>
        </w:numPr>
        <w:jc w:val="both"/>
        <w:rPr>
          <w:rFonts w:asciiTheme="minorHAnsi" w:eastAsiaTheme="majorEastAsia" w:hAnsiTheme="minorHAnsi" w:cstheme="minorHAnsi"/>
          <w:b w:val="0"/>
          <w:bCs w:val="0"/>
          <w:i/>
          <w:iCs/>
          <w:color w:val="002060"/>
          <w:sz w:val="28"/>
          <w:szCs w:val="28"/>
        </w:rPr>
      </w:pPr>
      <w:r w:rsidRPr="001A4AE2">
        <w:rPr>
          <w:rStyle w:val="Emphaseintense"/>
          <w:rFonts w:asciiTheme="minorHAnsi" w:eastAsiaTheme="majorEastAsia" w:hAnsiTheme="minorHAnsi" w:cstheme="minorHAnsi"/>
          <w:color w:val="002060"/>
          <w:sz w:val="28"/>
          <w:szCs w:val="28"/>
        </w:rPr>
        <w:t xml:space="preserve">Propriétés électriques du neurone : </w:t>
      </w:r>
      <w:r w:rsidRPr="001A4AE2">
        <w:rPr>
          <w:rFonts w:asciiTheme="minorHAnsi" w:hAnsiTheme="minorHAnsi" w:cstheme="minorHAnsi"/>
          <w:b w:val="0"/>
          <w:bCs w:val="0"/>
          <w:sz w:val="28"/>
          <w:szCs w:val="28"/>
        </w:rPr>
        <w:t>Les neurones possèdent deux propriétés fondamentales </w:t>
      </w:r>
      <w:r w:rsidRPr="001A4AE2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B61296" w:rsidRPr="001A4AE2" w:rsidRDefault="00B61296" w:rsidP="001A4AE2">
      <w:pPr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Polarisation de repos :</w:t>
      </w:r>
      <w:r w:rsidRPr="001A4AE2">
        <w:rPr>
          <w:rFonts w:cstheme="minorHAnsi"/>
          <w:b/>
          <w:bCs/>
          <w:sz w:val="28"/>
          <w:szCs w:val="28"/>
        </w:rPr>
        <w:t xml:space="preserve"> </w:t>
      </w:r>
      <w:r w:rsidRPr="001A4AE2">
        <w:rPr>
          <w:rFonts w:cstheme="minorHAnsi"/>
          <w:sz w:val="28"/>
          <w:szCs w:val="28"/>
        </w:rPr>
        <w:t>comme toutes les autres cellules de l’organisme, elles engendrent une différence de potentiel de part et d’autre de leur membrane.</w:t>
      </w:r>
    </w:p>
    <w:p w:rsidR="00A71C09" w:rsidRPr="001A4AE2" w:rsidRDefault="00A71C09" w:rsidP="001A4AE2">
      <w:pPr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L’excitabilité :</w:t>
      </w:r>
      <w:r w:rsidRPr="001A4AE2">
        <w:rPr>
          <w:rFonts w:cstheme="minorHAnsi"/>
          <w:sz w:val="28"/>
          <w:szCs w:val="28"/>
        </w:rPr>
        <w:t xml:space="preserve"> c’est la capacité de la membrane neuronale à répondre à une stimulation par un changement brutal de ce potentiel de repos  en</w:t>
      </w:r>
      <w:r w:rsidRPr="001A4AE2">
        <w:rPr>
          <w:rFonts w:cstheme="minorHAnsi"/>
          <w:b/>
          <w:bCs/>
          <w:sz w:val="28"/>
          <w:szCs w:val="28"/>
        </w:rPr>
        <w:t xml:space="preserve"> potentiel d’action.</w:t>
      </w:r>
    </w:p>
    <w:p w:rsidR="00A71C09" w:rsidRPr="001A4AE2" w:rsidRDefault="00A71C09" w:rsidP="001A4AE2">
      <w:pPr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La conduction </w:t>
      </w:r>
      <w:r w:rsidRPr="001A4AE2">
        <w:rPr>
          <w:rFonts w:cstheme="minorHAnsi"/>
          <w:sz w:val="28"/>
          <w:szCs w:val="28"/>
        </w:rPr>
        <w:t xml:space="preserve">: est la capacité des axones de transmettre les informations sous formes de signaux électriques appelés </w:t>
      </w:r>
      <w:r w:rsidRPr="001A4AE2">
        <w:rPr>
          <w:rFonts w:cstheme="minorHAnsi"/>
          <w:b/>
          <w:sz w:val="28"/>
          <w:szCs w:val="28"/>
        </w:rPr>
        <w:t>potentiels d’actions.</w:t>
      </w:r>
    </w:p>
    <w:p w:rsidR="00A71C09" w:rsidRPr="001A4AE2" w:rsidRDefault="00A71C09" w:rsidP="001A4AE2">
      <w:pPr>
        <w:pStyle w:val="Titre1"/>
        <w:numPr>
          <w:ilvl w:val="0"/>
          <w:numId w:val="14"/>
        </w:numPr>
        <w:jc w:val="both"/>
        <w:rPr>
          <w:rStyle w:val="Accentuation"/>
          <w:rFonts w:asciiTheme="minorHAnsi" w:hAnsiTheme="minorHAnsi" w:cstheme="minorHAnsi"/>
          <w:sz w:val="28"/>
          <w:szCs w:val="28"/>
          <w:u w:val="single"/>
        </w:rPr>
      </w:pPr>
      <w:r w:rsidRPr="001A4AE2">
        <w:rPr>
          <w:rStyle w:val="Accentuation"/>
          <w:rFonts w:asciiTheme="minorHAnsi" w:hAnsiTheme="minorHAnsi" w:cstheme="minorHAnsi"/>
          <w:sz w:val="28"/>
          <w:szCs w:val="28"/>
          <w:u w:val="single"/>
        </w:rPr>
        <w:t>Potentiel de repos</w:t>
      </w:r>
    </w:p>
    <w:p w:rsidR="00FB3E1C" w:rsidRPr="001A4AE2" w:rsidRDefault="00F25E58" w:rsidP="001A4AE2">
      <w:pPr>
        <w:numPr>
          <w:ilvl w:val="0"/>
          <w:numId w:val="15"/>
        </w:numPr>
        <w:jc w:val="both"/>
        <w:rPr>
          <w:rFonts w:cstheme="minorHAnsi"/>
          <w:b/>
          <w:bCs/>
          <w:sz w:val="28"/>
          <w:szCs w:val="28"/>
        </w:rPr>
      </w:pPr>
      <w:r w:rsidRPr="001A4AE2">
        <w:rPr>
          <w:rFonts w:cstheme="minorHAnsi"/>
          <w:sz w:val="28"/>
          <w:szCs w:val="28"/>
          <w:u w:val="single"/>
        </w:rPr>
        <w:t>Définition :</w:t>
      </w:r>
      <w:r w:rsidRPr="001A4AE2">
        <w:rPr>
          <w:rFonts w:cstheme="minorHAnsi"/>
          <w:sz w:val="28"/>
          <w:szCs w:val="28"/>
        </w:rPr>
        <w:t xml:space="preserve"> es une</w:t>
      </w:r>
      <w:r w:rsidR="00FB3E1C" w:rsidRPr="001A4AE2">
        <w:rPr>
          <w:rFonts w:cstheme="minorHAnsi"/>
          <w:sz w:val="28"/>
          <w:szCs w:val="28"/>
        </w:rPr>
        <w:t xml:space="preserve"> différence de potentiel entre les faces</w:t>
      </w:r>
      <w:r w:rsidRPr="001A4AE2">
        <w:rPr>
          <w:rFonts w:cstheme="minorHAnsi"/>
          <w:sz w:val="28"/>
          <w:szCs w:val="28"/>
        </w:rPr>
        <w:t xml:space="preserve"> de la membrane(</w:t>
      </w:r>
      <w:r w:rsidR="00FB3E1C" w:rsidRPr="001A4AE2">
        <w:rPr>
          <w:rFonts w:cstheme="minorHAnsi"/>
          <w:sz w:val="28"/>
          <w:szCs w:val="28"/>
        </w:rPr>
        <w:t xml:space="preserve"> V interne – V externe</w:t>
      </w:r>
      <w:r w:rsidRPr="001A4AE2">
        <w:rPr>
          <w:rFonts w:cstheme="minorHAnsi"/>
          <w:sz w:val="28"/>
          <w:szCs w:val="28"/>
        </w:rPr>
        <w:t xml:space="preserve"> </w:t>
      </w:r>
      <w:r w:rsidR="00FB3E1C" w:rsidRPr="001A4AE2">
        <w:rPr>
          <w:rFonts w:cstheme="minorHAnsi"/>
          <w:sz w:val="28"/>
          <w:szCs w:val="28"/>
        </w:rPr>
        <w:t>par convention</w:t>
      </w:r>
      <w:r w:rsidRPr="001A4AE2">
        <w:rPr>
          <w:rFonts w:cstheme="minorHAnsi"/>
          <w:sz w:val="28"/>
          <w:szCs w:val="28"/>
        </w:rPr>
        <w:t>)</w:t>
      </w:r>
      <w:r w:rsidR="00FB3E1C" w:rsidRPr="001A4AE2">
        <w:rPr>
          <w:rFonts w:cstheme="minorHAnsi"/>
          <w:sz w:val="28"/>
          <w:szCs w:val="28"/>
        </w:rPr>
        <w:t xml:space="preserve"> de l’ordre de – 60 à</w:t>
      </w:r>
      <w:r w:rsidRPr="001A4AE2">
        <w:rPr>
          <w:rFonts w:cstheme="minorHAnsi"/>
          <w:sz w:val="28"/>
          <w:szCs w:val="28"/>
        </w:rPr>
        <w:t xml:space="preserve"> </w:t>
      </w:r>
      <w:r w:rsidR="00FB3E1C" w:rsidRPr="001A4AE2">
        <w:rPr>
          <w:rFonts w:cstheme="minorHAnsi"/>
          <w:sz w:val="28"/>
          <w:szCs w:val="28"/>
        </w:rPr>
        <w:t>– 75 mV dans les</w:t>
      </w:r>
      <w:r w:rsidRPr="001A4AE2">
        <w:rPr>
          <w:rFonts w:cstheme="minorHAnsi"/>
          <w:sz w:val="28"/>
          <w:szCs w:val="28"/>
        </w:rPr>
        <w:t xml:space="preserve">  </w:t>
      </w:r>
      <w:r w:rsidR="00FB3E1C" w:rsidRPr="001A4AE2">
        <w:rPr>
          <w:rFonts w:cstheme="minorHAnsi"/>
          <w:sz w:val="28"/>
          <w:szCs w:val="28"/>
        </w:rPr>
        <w:t>fibres nerveuses</w:t>
      </w:r>
      <w:r w:rsidRPr="001A4AE2">
        <w:rPr>
          <w:rFonts w:cstheme="minorHAnsi"/>
          <w:sz w:val="28"/>
          <w:szCs w:val="28"/>
        </w:rPr>
        <w:t xml:space="preserve">, et  </w:t>
      </w:r>
      <w:r w:rsidR="00FB3E1C" w:rsidRPr="001A4AE2">
        <w:rPr>
          <w:rFonts w:cstheme="minorHAnsi"/>
          <w:sz w:val="28"/>
          <w:szCs w:val="28"/>
        </w:rPr>
        <w:t>un peu plus élevé dans les fibres musculaires,</w:t>
      </w:r>
      <w:r w:rsidRPr="001A4AE2">
        <w:rPr>
          <w:rFonts w:cstheme="minorHAnsi"/>
          <w:sz w:val="28"/>
          <w:szCs w:val="28"/>
        </w:rPr>
        <w:t xml:space="preserve"> </w:t>
      </w:r>
      <w:r w:rsidR="00FB3E1C" w:rsidRPr="001A4AE2">
        <w:rPr>
          <w:rFonts w:cstheme="minorHAnsi"/>
          <w:sz w:val="28"/>
          <w:szCs w:val="28"/>
        </w:rPr>
        <w:t>de l’ordre de – 80 à – 90 mV.</w:t>
      </w:r>
    </w:p>
    <w:p w:rsidR="00FB3E1C" w:rsidRPr="001A4AE2" w:rsidRDefault="00FB3E1C" w:rsidP="001A4AE2">
      <w:pPr>
        <w:rPr>
          <w:rFonts w:cstheme="minorHAnsi"/>
          <w:sz w:val="28"/>
          <w:szCs w:val="28"/>
          <w:lang w:eastAsia="en-US"/>
        </w:rPr>
      </w:pPr>
    </w:p>
    <w:p w:rsidR="00A71C09" w:rsidRPr="001A4AE2" w:rsidRDefault="00A71C09" w:rsidP="001A4AE2">
      <w:pPr>
        <w:numPr>
          <w:ilvl w:val="0"/>
          <w:numId w:val="15"/>
        </w:numPr>
        <w:jc w:val="both"/>
        <w:rPr>
          <w:rFonts w:cstheme="minorHAnsi"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  <w:u w:val="single"/>
        </w:rPr>
        <w:t>Mise en évidence</w:t>
      </w:r>
    </w:p>
    <w:p w:rsidR="00A71C09" w:rsidRPr="001A4AE2" w:rsidRDefault="00A71C09" w:rsidP="001A4AE2">
      <w:pPr>
        <w:ind w:left="720"/>
        <w:jc w:val="both"/>
        <w:rPr>
          <w:rFonts w:cstheme="minorHAnsi"/>
          <w:color w:val="7030A0"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</w:rPr>
        <w:t xml:space="preserve">Le potentiel de repos peut être mis en évidence sur un neurone (ou axone géant de calmar, dont le diamètre &gt; a 1mm).A l’aide de deux microélectrodes reliées à un oscilloscope(ou voltmètre) : une microélectrode placée a la surface, l’autre placée à l’intérieur de l’axone. Dans ces conditions ; il apparait une différence de potentiel de </w:t>
      </w:r>
      <w:r w:rsidRPr="001A4AE2">
        <w:rPr>
          <w:rFonts w:cstheme="minorHAnsi"/>
          <w:i/>
          <w:iCs/>
          <w:sz w:val="28"/>
          <w:szCs w:val="28"/>
        </w:rPr>
        <w:t>-60 mV</w:t>
      </w:r>
      <w:r w:rsidRPr="001A4AE2">
        <w:rPr>
          <w:rFonts w:cstheme="minorHAnsi"/>
          <w:sz w:val="28"/>
          <w:szCs w:val="28"/>
        </w:rPr>
        <w:t xml:space="preserve">, cette différence de potentiel représente </w:t>
      </w:r>
      <w:r w:rsidRPr="001A4AE2">
        <w:rPr>
          <w:rFonts w:cstheme="minorHAnsi"/>
          <w:i/>
          <w:iCs/>
          <w:sz w:val="28"/>
          <w:szCs w:val="28"/>
        </w:rPr>
        <w:t>le potentiel du repos</w:t>
      </w:r>
      <w:r w:rsidRPr="001A4AE2">
        <w:rPr>
          <w:rFonts w:cstheme="minorHAnsi"/>
          <w:i/>
          <w:iCs/>
          <w:color w:val="7030A0"/>
          <w:sz w:val="28"/>
          <w:szCs w:val="28"/>
        </w:rPr>
        <w:t>.</w:t>
      </w:r>
    </w:p>
    <w:p w:rsidR="00A71C09" w:rsidRPr="001A4AE2" w:rsidRDefault="00A71C09" w:rsidP="001A4AE2">
      <w:pPr>
        <w:numPr>
          <w:ilvl w:val="0"/>
          <w:numId w:val="15"/>
        </w:numPr>
        <w:jc w:val="both"/>
        <w:rPr>
          <w:rFonts w:cstheme="minorHAnsi"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  <w:u w:val="single"/>
        </w:rPr>
        <w:t>Origine ionique du potentiel de repos </w:t>
      </w:r>
    </w:p>
    <w:p w:rsidR="00A71C09" w:rsidRPr="001A4AE2" w:rsidRDefault="00F25E58" w:rsidP="001A4AE2">
      <w:pPr>
        <w:pStyle w:val="Sous-titre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</w:pPr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>les</w:t>
      </w:r>
      <w:r w:rsidR="00A71C09"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 milieux intra et extra cellulaires</w:t>
      </w:r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    sont des milieux aqueux qui contiennent des ions a   des  concentrations </w:t>
      </w:r>
      <w:proofErr w:type="gramStart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>différentes .</w:t>
      </w:r>
      <w:proofErr w:type="gramEnd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     </w:t>
      </w:r>
    </w:p>
    <w:tbl>
      <w:tblPr>
        <w:tblW w:w="0" w:type="auto"/>
        <w:jc w:val="center"/>
        <w:tblInd w:w="-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5"/>
        <w:gridCol w:w="1876"/>
        <w:gridCol w:w="1985"/>
        <w:gridCol w:w="2124"/>
      </w:tblGrid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1A4AE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Ions (mm)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1A4AE2">
              <w:rPr>
                <w:rFonts w:cstheme="minorHAnsi"/>
                <w:b/>
                <w:bCs/>
                <w:sz w:val="28"/>
                <w:szCs w:val="28"/>
              </w:rPr>
              <w:t xml:space="preserve">Milieu intracellulaire 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1A4AE2">
              <w:rPr>
                <w:rFonts w:cstheme="minorHAnsi"/>
                <w:b/>
                <w:bCs/>
                <w:sz w:val="28"/>
                <w:szCs w:val="28"/>
              </w:rPr>
              <w:t>Milieu extracellulaire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1A4AE2">
              <w:rPr>
                <w:rFonts w:cstheme="minorHAnsi"/>
                <w:b/>
                <w:bCs/>
                <w:sz w:val="28"/>
                <w:szCs w:val="28"/>
              </w:rPr>
              <w:t>Potentiel d’équilibre (mV)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K</w:t>
            </w:r>
            <w:r w:rsidRPr="001A4AE2">
              <w:rPr>
                <w:rFonts w:cstheme="minorHAns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  <w:highlight w:val="lightGray"/>
              </w:rPr>
              <w:t>-75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Na</w:t>
            </w:r>
            <w:r w:rsidRPr="001A4AE2">
              <w:rPr>
                <w:rFonts w:cstheme="minorHAnsi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440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+52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Ca</w:t>
            </w:r>
            <w:r w:rsidRPr="001A4AE2">
              <w:rPr>
                <w:rFonts w:cstheme="minorHAnsi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0.001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+116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Cl</w:t>
            </w:r>
            <w:r w:rsidRPr="001A4AE2">
              <w:rPr>
                <w:rFonts w:cstheme="minorHAns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650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  <w:highlight w:val="lightGray"/>
              </w:rPr>
              <w:t>-61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A</w:t>
            </w:r>
            <w:r w:rsidRPr="001A4AE2">
              <w:rPr>
                <w:rFonts w:cstheme="minorHAns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330</w:t>
            </w: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/</w:t>
            </w:r>
          </w:p>
        </w:tc>
      </w:tr>
      <w:tr w:rsidR="00A71C09" w:rsidRPr="001A4AE2" w:rsidTr="001927C5">
        <w:trPr>
          <w:jc w:val="center"/>
        </w:trPr>
        <w:tc>
          <w:tcPr>
            <w:tcW w:w="230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</w:rPr>
              <w:t>Potentiel de repos</w:t>
            </w:r>
          </w:p>
        </w:tc>
        <w:tc>
          <w:tcPr>
            <w:tcW w:w="1876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4" w:type="dxa"/>
          </w:tcPr>
          <w:p w:rsidR="00A71C09" w:rsidRPr="001A4AE2" w:rsidRDefault="00A71C09" w:rsidP="001A4AE2">
            <w:pPr>
              <w:tabs>
                <w:tab w:val="left" w:pos="180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1A4AE2">
              <w:rPr>
                <w:rFonts w:cstheme="minorHAnsi"/>
                <w:sz w:val="28"/>
                <w:szCs w:val="28"/>
                <w:highlight w:val="lightGray"/>
              </w:rPr>
              <w:t>-60</w:t>
            </w:r>
            <w:r w:rsidRPr="001A4AE2">
              <w:rPr>
                <w:rFonts w:cstheme="minorHAnsi"/>
                <w:sz w:val="28"/>
                <w:szCs w:val="28"/>
              </w:rPr>
              <w:t xml:space="preserve"> mV</w:t>
            </w:r>
          </w:p>
        </w:tc>
      </w:tr>
    </w:tbl>
    <w:p w:rsidR="00A71C09" w:rsidRPr="001A4AE2" w:rsidRDefault="00A71C09" w:rsidP="001A4AE2">
      <w:pPr>
        <w:tabs>
          <w:tab w:val="left" w:pos="180"/>
        </w:tabs>
        <w:jc w:val="both"/>
        <w:rPr>
          <w:rFonts w:cstheme="minorHAnsi"/>
          <w:color w:val="7030A0"/>
          <w:sz w:val="28"/>
          <w:szCs w:val="28"/>
        </w:rPr>
      </w:pPr>
    </w:p>
    <w:p w:rsidR="00F25E58" w:rsidRPr="001A4AE2" w:rsidRDefault="00F25E58" w:rsidP="001A4AE2">
      <w:pPr>
        <w:pStyle w:val="Sous-titre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</w:pPr>
      <w:proofErr w:type="gramStart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>donc</w:t>
      </w:r>
      <w:proofErr w:type="gramEnd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 le  potentiel de repos est peut être lié à une différence  de répartition des ions de part et d’autre de la membrane.</w:t>
      </w:r>
    </w:p>
    <w:p w:rsidR="00F67254" w:rsidRPr="001A4AE2" w:rsidRDefault="00F67254" w:rsidP="001A4AE2">
      <w:pPr>
        <w:pStyle w:val="Sous-titre"/>
        <w:numPr>
          <w:ilvl w:val="0"/>
          <w:numId w:val="13"/>
        </w:numPr>
        <w:jc w:val="both"/>
        <w:rPr>
          <w:rStyle w:val="Emphaseple"/>
          <w:rFonts w:asciiTheme="minorHAnsi" w:eastAsiaTheme="minorEastAsia" w:hAnsiTheme="minorHAnsi" w:cstheme="minorHAnsi"/>
          <w:color w:val="auto"/>
          <w:spacing w:val="0"/>
          <w:sz w:val="28"/>
          <w:szCs w:val="28"/>
        </w:rPr>
      </w:pPr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>Cette  différence de concentra</w:t>
      </w:r>
      <w:r w:rsidR="001A4AE2"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ab/>
      </w:r>
      <w:proofErr w:type="spellStart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>tion</w:t>
      </w:r>
      <w:proofErr w:type="spellEnd"/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 ionique de part et d’autre de la membrane est maintenue par trois mécanismes :</w:t>
      </w:r>
    </w:p>
    <w:p w:rsidR="00F67254" w:rsidRPr="001A4AE2" w:rsidRDefault="00F67254" w:rsidP="001A4AE2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b/>
          <w:bCs/>
          <w:i/>
          <w:iCs/>
          <w:sz w:val="28"/>
          <w:szCs w:val="28"/>
        </w:rPr>
        <w:t>La perméabilité sélective de la membranaire aux ions</w:t>
      </w:r>
      <w:r w:rsidRPr="001A4AE2">
        <w:rPr>
          <w:rFonts w:cstheme="minorHAnsi"/>
          <w:b/>
          <w:bCs/>
          <w:sz w:val="28"/>
          <w:szCs w:val="28"/>
        </w:rPr>
        <w:t>,</w:t>
      </w:r>
      <w:r w:rsidRPr="001A4AE2">
        <w:rPr>
          <w:rFonts w:cstheme="minorHAnsi"/>
          <w:sz w:val="28"/>
          <w:szCs w:val="28"/>
        </w:rPr>
        <w:t xml:space="preserve"> que protéines membranaires, qui constituent des canaux spécifiquement perméables aux ions Cl-, Na+ et K+. Plus la membrane est riche en canaux ioniques d’une espèce ionique, plus elle sera perméable à cet ion.</w:t>
      </w:r>
    </w:p>
    <w:p w:rsidR="00F67254" w:rsidRPr="001A4AE2" w:rsidRDefault="00F67254" w:rsidP="001A4AE2">
      <w:pPr>
        <w:pStyle w:val="Paragraphedeliste"/>
        <w:numPr>
          <w:ilvl w:val="0"/>
          <w:numId w:val="16"/>
        </w:numPr>
        <w:jc w:val="both"/>
        <w:rPr>
          <w:rFonts w:cstheme="minorHAnsi"/>
          <w:b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</w:rPr>
        <w:t xml:space="preserve">A </w:t>
      </w:r>
      <w:r w:rsidRPr="001A4AE2">
        <w:rPr>
          <w:rFonts w:cstheme="minorHAnsi"/>
          <w:i/>
          <w:iCs/>
          <w:sz w:val="28"/>
          <w:szCs w:val="28"/>
        </w:rPr>
        <w:t xml:space="preserve">la </w:t>
      </w:r>
      <w:r w:rsidRPr="001A4AE2">
        <w:rPr>
          <w:rFonts w:cstheme="minorHAnsi"/>
          <w:b/>
          <w:bCs/>
          <w:i/>
          <w:iCs/>
          <w:sz w:val="28"/>
          <w:szCs w:val="28"/>
        </w:rPr>
        <w:t>présence de protéines intracellulaires</w:t>
      </w:r>
      <w:r w:rsidRPr="001A4AE2">
        <w:rPr>
          <w:rFonts w:cstheme="minorHAnsi"/>
          <w:sz w:val="28"/>
          <w:szCs w:val="28"/>
        </w:rPr>
        <w:t xml:space="preserve"> qui sont de gros anions non diffusibles (protéinates A-), qui créent une électronégativité intracellulaire qui empêche les ions K+  de migrer complètement vers le milieu extra cellulaire «  </w:t>
      </w:r>
      <w:r w:rsidRPr="001A4AE2">
        <w:rPr>
          <w:rFonts w:cstheme="minorHAnsi"/>
          <w:bCs/>
          <w:i/>
          <w:iCs/>
          <w:sz w:val="28"/>
          <w:szCs w:val="28"/>
        </w:rPr>
        <w:t>l’équilibre de Gibbs-Donnan »</w:t>
      </w:r>
    </w:p>
    <w:p w:rsidR="00F67254" w:rsidRPr="001A4AE2" w:rsidRDefault="00F67254" w:rsidP="001A4AE2">
      <w:pPr>
        <w:pStyle w:val="Paragraphedeliste"/>
        <w:numPr>
          <w:ilvl w:val="0"/>
          <w:numId w:val="16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Et </w:t>
      </w:r>
      <w:r w:rsidRPr="001A4AE2">
        <w:rPr>
          <w:rFonts w:cstheme="minorHAnsi"/>
          <w:i/>
          <w:iCs/>
          <w:sz w:val="28"/>
          <w:szCs w:val="28"/>
        </w:rPr>
        <w:t xml:space="preserve">aux </w:t>
      </w:r>
      <w:r w:rsidRPr="001A4AE2">
        <w:rPr>
          <w:rFonts w:cstheme="minorHAnsi"/>
          <w:b/>
          <w:bCs/>
          <w:i/>
          <w:iCs/>
          <w:sz w:val="28"/>
          <w:szCs w:val="28"/>
        </w:rPr>
        <w:t>Systèmes de transport actif (pompe Na+-K+ ATP ase)</w:t>
      </w:r>
      <w:r w:rsidRPr="001A4AE2">
        <w:rPr>
          <w:rFonts w:cstheme="minorHAnsi"/>
          <w:sz w:val="28"/>
          <w:szCs w:val="28"/>
        </w:rPr>
        <w:t> ; qui expulse continuellement 3Na+ hors de la cellule chaque fois qu’elle fait entrer 2k+.</w:t>
      </w:r>
    </w:p>
    <w:p w:rsidR="00A71C09" w:rsidRPr="001A4AE2" w:rsidRDefault="00A71C09" w:rsidP="001A4AE2">
      <w:pPr>
        <w:pStyle w:val="Titre1"/>
        <w:numPr>
          <w:ilvl w:val="0"/>
          <w:numId w:val="14"/>
        </w:numPr>
        <w:jc w:val="both"/>
        <w:rPr>
          <w:rStyle w:val="Accentuation"/>
          <w:rFonts w:asciiTheme="minorHAnsi" w:hAnsiTheme="minorHAnsi" w:cstheme="minorHAnsi"/>
          <w:sz w:val="28"/>
          <w:szCs w:val="28"/>
          <w:u w:val="single"/>
        </w:rPr>
      </w:pPr>
      <w:r w:rsidRPr="001A4AE2">
        <w:rPr>
          <w:rStyle w:val="Accentuation"/>
          <w:rFonts w:asciiTheme="minorHAnsi" w:hAnsiTheme="minorHAnsi" w:cstheme="minorHAnsi"/>
          <w:sz w:val="28"/>
          <w:szCs w:val="28"/>
          <w:u w:val="single"/>
        </w:rPr>
        <w:t xml:space="preserve">Potentiel d’action </w:t>
      </w:r>
    </w:p>
    <w:p w:rsidR="00A71C09" w:rsidRPr="001A4AE2" w:rsidRDefault="00A71C09" w:rsidP="001A4AE2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  <w:u w:val="single"/>
        </w:rPr>
        <w:t>Définition :</w:t>
      </w:r>
      <w:r w:rsidRPr="001A4AE2">
        <w:rPr>
          <w:rFonts w:cstheme="minorHAnsi"/>
          <w:sz w:val="28"/>
          <w:szCs w:val="28"/>
        </w:rPr>
        <w:t xml:space="preserve"> </w:t>
      </w:r>
      <w:r w:rsidRPr="001A4AE2">
        <w:rPr>
          <w:rFonts w:eastAsia="Calibri" w:cstheme="minorHAnsi"/>
          <w:sz w:val="28"/>
          <w:szCs w:val="28"/>
          <w:lang w:eastAsia="en-US"/>
        </w:rPr>
        <w:t>Le potentiel d'action (PA) correspond à un changement transitoire du potentiel membranaire  suite à une stimulation.</w:t>
      </w:r>
    </w:p>
    <w:p w:rsidR="00A71C09" w:rsidRPr="001A4AE2" w:rsidRDefault="00A71C09" w:rsidP="001A4AE2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  <w:u w:val="single"/>
        </w:rPr>
        <w:t xml:space="preserve">Mise en évidence : </w:t>
      </w:r>
    </w:p>
    <w:p w:rsidR="00A71C09" w:rsidRPr="001A4AE2" w:rsidRDefault="00A71C09" w:rsidP="001A4AE2">
      <w:pPr>
        <w:ind w:left="360"/>
        <w:jc w:val="both"/>
        <w:rPr>
          <w:rFonts w:eastAsia="Calibri" w:cstheme="minorHAnsi"/>
          <w:sz w:val="28"/>
          <w:szCs w:val="28"/>
          <w:lang w:eastAsia="en-US"/>
        </w:rPr>
      </w:pPr>
      <w:r w:rsidRPr="001A4AE2">
        <w:rPr>
          <w:rFonts w:eastAsia="Calibri" w:cstheme="minorHAnsi"/>
          <w:sz w:val="28"/>
          <w:szCs w:val="28"/>
          <w:lang w:eastAsia="en-US"/>
        </w:rPr>
        <w:lastRenderedPageBreak/>
        <w:t>Sur une préparation contenant :</w:t>
      </w:r>
      <w:r w:rsidR="00F67254" w:rsidRPr="001A4AE2">
        <w:rPr>
          <w:rFonts w:eastAsia="Calibri" w:cstheme="minorHAnsi"/>
          <w:sz w:val="28"/>
          <w:szCs w:val="28"/>
          <w:lang w:eastAsia="en-US"/>
        </w:rPr>
        <w:t xml:space="preserve">    </w:t>
      </w:r>
      <w:r w:rsidRPr="001A4AE2">
        <w:rPr>
          <w:rFonts w:eastAsia="Calibri" w:cstheme="minorHAnsi"/>
          <w:sz w:val="28"/>
          <w:szCs w:val="28"/>
          <w:lang w:eastAsia="en-US"/>
        </w:rPr>
        <w:t>Un neurone (axone géant de Calmar) dans une solution physiologique,</w:t>
      </w:r>
      <w:r w:rsidR="00F67254" w:rsidRPr="001A4AE2">
        <w:rPr>
          <w:rFonts w:eastAsia="Calibri" w:cstheme="minorHAnsi"/>
          <w:sz w:val="28"/>
          <w:szCs w:val="28"/>
          <w:lang w:eastAsia="en-US"/>
        </w:rPr>
        <w:t xml:space="preserve">     </w:t>
      </w:r>
      <w:r w:rsidRPr="001A4AE2">
        <w:rPr>
          <w:rFonts w:eastAsia="Calibri" w:cstheme="minorHAnsi"/>
          <w:sz w:val="28"/>
          <w:szCs w:val="28"/>
          <w:lang w:eastAsia="en-US"/>
        </w:rPr>
        <w:t>02 microélectrodes de mesure (l’une inséré à travers la membrane et l’autre de référence situé dans le milieu extracellulaire) et 02 microélectrodes de stimulation qui  délivre des impulsions électriques rectangulaire (intensité et duré réglable).</w:t>
      </w:r>
      <w:r w:rsidR="00F67254" w:rsidRPr="001A4AE2">
        <w:rPr>
          <w:rFonts w:eastAsia="Calibri" w:cstheme="minorHAnsi"/>
          <w:sz w:val="28"/>
          <w:szCs w:val="28"/>
          <w:lang w:eastAsia="en-US"/>
        </w:rPr>
        <w:t xml:space="preserve">    Et enfin   </w:t>
      </w:r>
      <w:r w:rsidRPr="001A4AE2">
        <w:rPr>
          <w:rFonts w:eastAsia="Calibri" w:cstheme="minorHAnsi"/>
          <w:sz w:val="28"/>
          <w:szCs w:val="28"/>
          <w:lang w:eastAsia="en-US"/>
        </w:rPr>
        <w:t>un oscilloscope cathodique pour visualiser  les résultats.</w:t>
      </w:r>
    </w:p>
    <w:p w:rsidR="00A71C09" w:rsidRPr="001A4AE2" w:rsidRDefault="00A71C09" w:rsidP="001A4AE2">
      <w:pPr>
        <w:ind w:left="360"/>
        <w:jc w:val="both"/>
        <w:rPr>
          <w:rFonts w:eastAsia="Calibri" w:cstheme="minorHAnsi"/>
          <w:sz w:val="28"/>
          <w:szCs w:val="28"/>
          <w:lang w:eastAsia="en-US"/>
        </w:rPr>
      </w:pPr>
      <w:r w:rsidRPr="001A4AE2">
        <w:rPr>
          <w:rFonts w:eastAsia="Calibri" w:cstheme="minorHAnsi"/>
          <w:sz w:val="28"/>
          <w:szCs w:val="28"/>
          <w:lang w:eastAsia="en-US"/>
        </w:rPr>
        <w:t>Après stimulation électrique supraliminaire on observe   : une inversion brutale du potentiel  membranaire, qui correspondant  à une dépolarisation rapide suivit d’une repolarisation moins rapide et enfin retour du potentiel à sa valeur de repos ; ce phénomène est appelé « potentiel d’action ».</w:t>
      </w:r>
    </w:p>
    <w:p w:rsidR="00A71C09" w:rsidRPr="001A4AE2" w:rsidRDefault="00A71C09" w:rsidP="001A4AE2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color w:val="002060"/>
          <w:sz w:val="28"/>
          <w:szCs w:val="28"/>
        </w:rPr>
        <w:t xml:space="preserve"> </w:t>
      </w:r>
      <w:r w:rsidRPr="001A4AE2">
        <w:rPr>
          <w:rFonts w:cstheme="minorHAnsi"/>
          <w:sz w:val="28"/>
          <w:szCs w:val="28"/>
          <w:u w:val="single"/>
        </w:rPr>
        <w:t>Origine ionique :</w:t>
      </w:r>
      <w:r w:rsidRPr="001A4AE2">
        <w:rPr>
          <w:rFonts w:cstheme="minorHAnsi"/>
          <w:sz w:val="28"/>
          <w:szCs w:val="28"/>
        </w:rPr>
        <w:t xml:space="preserve"> Le potentiel d’action est dû aux changements transitoires des perméabilités membranaires aux ions. </w:t>
      </w:r>
    </w:p>
    <w:p w:rsidR="00A71C09" w:rsidRPr="001A4AE2" w:rsidRDefault="00A71C09" w:rsidP="001A4AE2">
      <w:pPr>
        <w:pStyle w:val="NormalWeb"/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1A4AE2">
        <w:rPr>
          <w:rFonts w:asciiTheme="minorHAnsi" w:eastAsiaTheme="minorEastAsia" w:hAnsiTheme="minorHAnsi" w:cstheme="minorHAnsi"/>
          <w:sz w:val="28"/>
          <w:szCs w:val="28"/>
        </w:rPr>
        <w:t>L’utilisation de la technique de</w:t>
      </w:r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tension imposée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 , et </w:t>
      </w:r>
      <w:r w:rsidRPr="001A4AE2">
        <w:rPr>
          <w:rFonts w:asciiTheme="minorHAnsi" w:hAnsiTheme="minorHAnsi" w:cstheme="minorHAnsi"/>
          <w:sz w:val="28"/>
          <w:szCs w:val="28"/>
        </w:rPr>
        <w:t xml:space="preserve">la technique de </w:t>
      </w:r>
      <w:r w:rsidRPr="001A4AE2">
        <w:rPr>
          <w:rFonts w:asciiTheme="minorHAnsi" w:hAnsiTheme="minorHAnsi" w:cstheme="minorHAnsi"/>
          <w:b/>
          <w:bCs/>
          <w:sz w:val="28"/>
          <w:szCs w:val="28"/>
        </w:rPr>
        <w:t>patch-clamp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 , ainsi que  </w:t>
      </w:r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des drogues spécifiques bloquants les canaux ioniques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 ; la </w:t>
      </w:r>
      <w:proofErr w:type="spellStart"/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tétrodotoxine</w:t>
      </w:r>
      <w:proofErr w:type="spellEnd"/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(TTX)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, bloquant spécifique des </w:t>
      </w:r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canaux sodium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 sensibles à la tension, ou le </w:t>
      </w:r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tétra-</w:t>
      </w:r>
      <w:proofErr w:type="spellStart"/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éthyl</w:t>
      </w:r>
      <w:proofErr w:type="spellEnd"/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-ammonium (TEA)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, bloquant spécifique des </w:t>
      </w:r>
      <w:r w:rsidRPr="001A4AE2">
        <w:rPr>
          <w:rFonts w:asciiTheme="minorHAnsi" w:eastAsiaTheme="minorEastAsia" w:hAnsiTheme="minorHAnsi" w:cstheme="minorHAnsi"/>
          <w:b/>
          <w:bCs/>
          <w:sz w:val="28"/>
          <w:szCs w:val="28"/>
        </w:rPr>
        <w:t>canaux potassium</w:t>
      </w:r>
      <w:r w:rsidRPr="001A4AE2">
        <w:rPr>
          <w:rFonts w:asciiTheme="minorHAnsi" w:eastAsiaTheme="minorEastAsia" w:hAnsiTheme="minorHAnsi" w:cstheme="minorHAnsi"/>
          <w:sz w:val="28"/>
          <w:szCs w:val="28"/>
        </w:rPr>
        <w:t xml:space="preserve"> sensibles à la tension , montre que ;lors de la dépolarisation d’un axone, un courant sodium entrant apparait très rapidement, puis s’annule (réaction d’inactivation) et un courant potassium sortant augmente plus lentement, mais ne s’inactive pas.</w:t>
      </w:r>
    </w:p>
    <w:p w:rsidR="00A71C09" w:rsidRPr="001A4AE2" w:rsidRDefault="00A71C09" w:rsidP="001A4AE2">
      <w:pPr>
        <w:pStyle w:val="Normal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A4AE2">
        <w:rPr>
          <w:rFonts w:asciiTheme="minorHAnsi" w:hAnsiTheme="minorHAnsi" w:cstheme="minorHAnsi"/>
          <w:sz w:val="28"/>
          <w:szCs w:val="28"/>
        </w:rPr>
        <w:t>le potentiel d’action est composé de trois phases, qui correspondent aux différentes conformations des canaux ioniques :</w:t>
      </w:r>
    </w:p>
    <w:p w:rsidR="00A71C09" w:rsidRPr="001A4AE2" w:rsidRDefault="00A71C09" w:rsidP="001A4AE2">
      <w:pPr>
        <w:pStyle w:val="Paragraphedeliste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color w:val="C00000"/>
          <w:sz w:val="28"/>
          <w:szCs w:val="28"/>
          <w:u w:val="single"/>
        </w:rPr>
        <w:t>phase de dépolarisation :</w:t>
      </w:r>
      <w:r w:rsidRPr="001A4AE2">
        <w:rPr>
          <w:rFonts w:cstheme="minorHAnsi"/>
          <w:sz w:val="28"/>
          <w:szCs w:val="28"/>
        </w:rPr>
        <w:t xml:space="preserve"> ouverture rapide des canaux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voltage-dépendants, ce  qui permet une entrée massive de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(augmentation rapide de la conductance au Na+) ; qui ramène le potentiel de la membrane vers le potentiel d’équilibre du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pStyle w:val="Paragraphedeliste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color w:val="C00000"/>
          <w:sz w:val="28"/>
          <w:szCs w:val="28"/>
          <w:u w:val="single"/>
        </w:rPr>
        <w:t>phase de repolarisation :</w:t>
      </w:r>
      <w:r w:rsidRPr="001A4AE2">
        <w:rPr>
          <w:rFonts w:cstheme="minorHAnsi"/>
          <w:sz w:val="28"/>
          <w:szCs w:val="28"/>
        </w:rPr>
        <w:t xml:space="preserve"> fermeture des canaux à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voltage-dépendants (diminution de  la conductance du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>) et en même temps  ouverture des canaux 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voltage-dépendants qui permet une la sortie du 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(augmentation de la conductance du 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>).</w:t>
      </w:r>
    </w:p>
    <w:p w:rsidR="00A71C09" w:rsidRPr="001A4AE2" w:rsidRDefault="00A71C09" w:rsidP="001A4AE2">
      <w:pPr>
        <w:pStyle w:val="Paragraphedeliste"/>
        <w:numPr>
          <w:ilvl w:val="0"/>
          <w:numId w:val="9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color w:val="C00000"/>
          <w:sz w:val="28"/>
          <w:szCs w:val="28"/>
          <w:u w:val="single"/>
        </w:rPr>
        <w:lastRenderedPageBreak/>
        <w:t>post-hyperpolarisation :</w:t>
      </w:r>
      <w:r w:rsidRPr="001A4AE2">
        <w:rPr>
          <w:rFonts w:cstheme="minorHAnsi"/>
          <w:sz w:val="28"/>
          <w:szCs w:val="28"/>
        </w:rPr>
        <w:t xml:space="preserve"> la conductance du 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reste élevée plusieurs millisecondes ce qui permet une fuite accrue d’ions 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 xml:space="preserve"> qui ramène le potentiel de la membrane vers son potentiel d’équilibre.</w:t>
      </w:r>
    </w:p>
    <w:p w:rsidR="00A71C09" w:rsidRPr="001A4AE2" w:rsidRDefault="00A71C09" w:rsidP="001A4AE2">
      <w:pPr>
        <w:pStyle w:val="Paragraphedeliste"/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>L’activité de la pompe Na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>-K</w:t>
      </w:r>
      <w:r w:rsidRPr="001A4AE2">
        <w:rPr>
          <w:rFonts w:cstheme="minorHAnsi"/>
          <w:sz w:val="28"/>
          <w:szCs w:val="28"/>
          <w:vertAlign w:val="superscript"/>
        </w:rPr>
        <w:t>+</w:t>
      </w:r>
      <w:r w:rsidRPr="001A4AE2">
        <w:rPr>
          <w:rFonts w:cstheme="minorHAnsi"/>
          <w:sz w:val="28"/>
          <w:szCs w:val="28"/>
        </w:rPr>
        <w:t>-ATP ase rétablit le potentiel à son état de repos.</w:t>
      </w:r>
    </w:p>
    <w:p w:rsidR="00A71C09" w:rsidRPr="001A4AE2" w:rsidRDefault="00A71C09" w:rsidP="001A4AE2">
      <w:pPr>
        <w:pStyle w:val="Paragraphedeliste"/>
        <w:numPr>
          <w:ilvl w:val="0"/>
          <w:numId w:val="17"/>
        </w:numPr>
        <w:jc w:val="both"/>
        <w:rPr>
          <w:rFonts w:cstheme="minorHAnsi"/>
          <w:color w:val="002060"/>
          <w:sz w:val="28"/>
          <w:szCs w:val="28"/>
        </w:rPr>
      </w:pPr>
      <w:r w:rsidRPr="001A4AE2">
        <w:rPr>
          <w:rFonts w:cstheme="minorHAnsi"/>
          <w:color w:val="002060"/>
          <w:sz w:val="28"/>
          <w:szCs w:val="28"/>
        </w:rPr>
        <w:t xml:space="preserve">Propriétés du potentiel d’action : </w:t>
      </w:r>
      <w:r w:rsidRPr="001A4AE2">
        <w:rPr>
          <w:rFonts w:cstheme="minorHAnsi"/>
          <w:sz w:val="28"/>
          <w:szCs w:val="28"/>
        </w:rPr>
        <w:t>le potentiel d’action présente  03 propriétés :</w:t>
      </w:r>
    </w:p>
    <w:p w:rsidR="00A71C09" w:rsidRPr="001A4AE2" w:rsidRDefault="00A71C09" w:rsidP="001A4AE2">
      <w:pPr>
        <w:numPr>
          <w:ilvl w:val="0"/>
          <w:numId w:val="10"/>
        </w:numPr>
        <w:jc w:val="both"/>
        <w:rPr>
          <w:rFonts w:cstheme="minorHAnsi"/>
          <w:color w:val="C00000"/>
          <w:sz w:val="28"/>
          <w:szCs w:val="28"/>
        </w:rPr>
      </w:pPr>
      <w:r w:rsidRPr="001A4AE2">
        <w:rPr>
          <w:rStyle w:val="Emphaseple"/>
          <w:rFonts w:cstheme="minorHAnsi"/>
          <w:color w:val="C00000"/>
          <w:sz w:val="28"/>
          <w:szCs w:val="28"/>
          <w:u w:val="single"/>
        </w:rPr>
        <w:t>Le seuil de déclenchement :</w:t>
      </w:r>
      <w:r w:rsidRPr="001A4AE2">
        <w:rPr>
          <w:rFonts w:cstheme="minorHAnsi"/>
          <w:sz w:val="28"/>
          <w:szCs w:val="28"/>
        </w:rPr>
        <w:t xml:space="preserve"> </w:t>
      </w:r>
    </w:p>
    <w:p w:rsidR="00A71C09" w:rsidRPr="001A4AE2" w:rsidRDefault="00A71C09" w:rsidP="001A4AE2">
      <w:pPr>
        <w:ind w:left="1068"/>
        <w:jc w:val="both"/>
        <w:rPr>
          <w:rFonts w:cstheme="minorHAnsi"/>
          <w:color w:val="C00000"/>
          <w:sz w:val="28"/>
          <w:szCs w:val="28"/>
        </w:rPr>
      </w:pPr>
      <w:r w:rsidRPr="001A4AE2">
        <w:rPr>
          <w:rFonts w:cstheme="minorHAnsi"/>
          <w:sz w:val="28"/>
          <w:szCs w:val="28"/>
        </w:rPr>
        <w:t>Le déclenchement du potentiel d’action nécessite, l’utilisation d’une intensité de stimulation supérieure au seuil d’activation  des canaux sodiques potentiel dépendants (</w:t>
      </w:r>
      <w:r w:rsidRPr="001A4AE2">
        <w:rPr>
          <w:rFonts w:cstheme="minorHAnsi"/>
          <w:b/>
          <w:sz w:val="28"/>
          <w:szCs w:val="28"/>
        </w:rPr>
        <w:t>intensité supraliminaire</w:t>
      </w:r>
      <w:r w:rsidRPr="001A4AE2">
        <w:rPr>
          <w:rFonts w:cstheme="minorHAnsi"/>
          <w:sz w:val="28"/>
          <w:szCs w:val="28"/>
        </w:rPr>
        <w:t>).</w:t>
      </w:r>
      <w:r w:rsidRPr="001A4AE2">
        <w:rPr>
          <w:rFonts w:cstheme="minorHAnsi"/>
          <w:b/>
          <w:bCs/>
          <w:sz w:val="28"/>
          <w:szCs w:val="28"/>
        </w:rPr>
        <w:t xml:space="preserve"> </w:t>
      </w:r>
    </w:p>
    <w:p w:rsidR="00A71C09" w:rsidRPr="001A4AE2" w:rsidRDefault="00A71C09" w:rsidP="001A4AE2">
      <w:pPr>
        <w:numPr>
          <w:ilvl w:val="0"/>
          <w:numId w:val="10"/>
        </w:numPr>
        <w:jc w:val="both"/>
        <w:rPr>
          <w:rStyle w:val="Emphaseple"/>
          <w:rFonts w:cstheme="minorHAnsi"/>
          <w:i w:val="0"/>
          <w:iCs w:val="0"/>
          <w:color w:val="C00000"/>
          <w:sz w:val="28"/>
          <w:szCs w:val="28"/>
        </w:rPr>
      </w:pPr>
      <w:r w:rsidRPr="001A4AE2">
        <w:rPr>
          <w:rStyle w:val="Emphaseple"/>
          <w:rFonts w:cstheme="minorHAnsi"/>
          <w:color w:val="C00000"/>
          <w:sz w:val="28"/>
          <w:szCs w:val="28"/>
          <w:u w:val="single"/>
        </w:rPr>
        <w:t>La loi du tout ou rien :</w:t>
      </w:r>
    </w:p>
    <w:p w:rsidR="00A71C09" w:rsidRPr="001A4AE2" w:rsidRDefault="00A71C09" w:rsidP="001A4AE2">
      <w:pPr>
        <w:ind w:left="1068"/>
        <w:jc w:val="both"/>
        <w:rPr>
          <w:rFonts w:cstheme="minorHAnsi"/>
          <w:b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Le PA ne se déclenche pas pour des intensités inférieures au seuil mais au dessus de la valeur seuil il ne change pas d’amplitude c’est </w:t>
      </w:r>
      <w:r w:rsidRPr="001A4AE2">
        <w:rPr>
          <w:rFonts w:cstheme="minorHAnsi"/>
          <w:b/>
          <w:sz w:val="28"/>
          <w:szCs w:val="28"/>
        </w:rPr>
        <w:t xml:space="preserve">« la loi de toute ou rien» </w:t>
      </w:r>
    </w:p>
    <w:p w:rsidR="00A71C09" w:rsidRPr="001A4AE2" w:rsidRDefault="00A71C09" w:rsidP="001A4AE2">
      <w:pPr>
        <w:numPr>
          <w:ilvl w:val="0"/>
          <w:numId w:val="10"/>
        </w:numPr>
        <w:jc w:val="both"/>
        <w:rPr>
          <w:rStyle w:val="Emphaseple"/>
          <w:rFonts w:cstheme="minorHAnsi"/>
          <w:i w:val="0"/>
          <w:iCs w:val="0"/>
          <w:color w:val="C00000"/>
          <w:sz w:val="28"/>
          <w:szCs w:val="28"/>
        </w:rPr>
      </w:pPr>
      <w:r w:rsidRPr="001A4AE2">
        <w:rPr>
          <w:rStyle w:val="Emphaseple"/>
          <w:rFonts w:cstheme="minorHAnsi"/>
          <w:color w:val="C00000"/>
          <w:sz w:val="28"/>
          <w:szCs w:val="28"/>
          <w:u w:val="single"/>
        </w:rPr>
        <w:t>La période réfractaire :</w:t>
      </w:r>
    </w:p>
    <w:p w:rsidR="00A71C09" w:rsidRPr="001A4AE2" w:rsidRDefault="00A71C09" w:rsidP="001A4AE2">
      <w:pPr>
        <w:numPr>
          <w:ilvl w:val="0"/>
          <w:numId w:val="6"/>
        </w:numPr>
        <w:spacing w:after="0"/>
        <w:jc w:val="both"/>
        <w:rPr>
          <w:rFonts w:cstheme="minorHAnsi"/>
          <w:b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La période réfractaire absolue :</w:t>
      </w:r>
    </w:p>
    <w:p w:rsidR="00A71C09" w:rsidRPr="001A4AE2" w:rsidRDefault="00A71C09" w:rsidP="001A4AE2">
      <w:pPr>
        <w:ind w:left="108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Si deux stimuli sont </w:t>
      </w:r>
      <w:r w:rsidRPr="001A4AE2">
        <w:rPr>
          <w:rFonts w:cstheme="minorHAnsi"/>
          <w:b/>
          <w:sz w:val="28"/>
          <w:szCs w:val="28"/>
        </w:rPr>
        <w:t>très rapprochés</w:t>
      </w:r>
      <w:r w:rsidRPr="001A4AE2">
        <w:rPr>
          <w:rFonts w:cstheme="minorHAnsi"/>
          <w:sz w:val="28"/>
          <w:szCs w:val="28"/>
        </w:rPr>
        <w:t xml:space="preserve">, le deuxième choc </w:t>
      </w:r>
      <w:r w:rsidRPr="001A4AE2">
        <w:rPr>
          <w:rFonts w:cstheme="minorHAnsi"/>
          <w:b/>
          <w:sz w:val="28"/>
          <w:szCs w:val="28"/>
        </w:rPr>
        <w:t>ne provoque pas de réponse</w:t>
      </w:r>
      <w:r w:rsidRPr="001A4AE2">
        <w:rPr>
          <w:rFonts w:cstheme="minorHAnsi"/>
          <w:sz w:val="28"/>
          <w:szCs w:val="28"/>
        </w:rPr>
        <w:t xml:space="preserve"> de la de l’axone, ceci est dû  à l’état </w:t>
      </w:r>
      <w:r w:rsidRPr="001A4AE2">
        <w:rPr>
          <w:rFonts w:cstheme="minorHAnsi"/>
          <w:b/>
          <w:bCs/>
          <w:sz w:val="28"/>
          <w:szCs w:val="28"/>
        </w:rPr>
        <w:t>inactivable des canaux sodiques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numPr>
          <w:ilvl w:val="0"/>
          <w:numId w:val="6"/>
        </w:numPr>
        <w:spacing w:after="0"/>
        <w:jc w:val="both"/>
        <w:rPr>
          <w:rFonts w:cstheme="minorHAnsi"/>
          <w:b/>
          <w:sz w:val="28"/>
          <w:szCs w:val="28"/>
        </w:rPr>
      </w:pPr>
      <w:r w:rsidRPr="001A4AE2">
        <w:rPr>
          <w:rFonts w:cstheme="minorHAnsi"/>
          <w:b/>
          <w:sz w:val="28"/>
          <w:szCs w:val="28"/>
        </w:rPr>
        <w:t>La période réfractaire relative :</w:t>
      </w:r>
    </w:p>
    <w:p w:rsidR="00A71C09" w:rsidRPr="001A4AE2" w:rsidRDefault="00A71C09" w:rsidP="001A4AE2">
      <w:pPr>
        <w:ind w:left="108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Si deux stimuli sont </w:t>
      </w:r>
      <w:r w:rsidRPr="001A4AE2">
        <w:rPr>
          <w:rFonts w:cstheme="minorHAnsi"/>
          <w:b/>
          <w:sz w:val="28"/>
          <w:szCs w:val="28"/>
        </w:rPr>
        <w:t>espacés</w:t>
      </w:r>
      <w:r w:rsidRPr="001A4AE2">
        <w:rPr>
          <w:rFonts w:cstheme="minorHAnsi"/>
          <w:sz w:val="28"/>
          <w:szCs w:val="28"/>
        </w:rPr>
        <w:t xml:space="preserve">, chacun des deux stimuli </w:t>
      </w:r>
      <w:r w:rsidRPr="001A4AE2">
        <w:rPr>
          <w:rFonts w:cstheme="minorHAnsi"/>
          <w:b/>
          <w:bCs/>
          <w:sz w:val="28"/>
          <w:szCs w:val="28"/>
        </w:rPr>
        <w:t>déclenche</w:t>
      </w:r>
      <w:r w:rsidRPr="001A4AE2">
        <w:rPr>
          <w:rFonts w:cstheme="minorHAnsi"/>
          <w:sz w:val="28"/>
          <w:szCs w:val="28"/>
        </w:rPr>
        <w:t xml:space="preserve"> un potentiel d’action, ceci est dû  à l’état fermé </w:t>
      </w:r>
      <w:r w:rsidRPr="001A4AE2">
        <w:rPr>
          <w:rFonts w:cstheme="minorHAnsi"/>
          <w:b/>
          <w:bCs/>
          <w:sz w:val="28"/>
          <w:szCs w:val="28"/>
        </w:rPr>
        <w:t>activable des canaux sodiques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pStyle w:val="Titre1"/>
        <w:numPr>
          <w:ilvl w:val="0"/>
          <w:numId w:val="14"/>
        </w:numPr>
        <w:jc w:val="both"/>
        <w:rPr>
          <w:rStyle w:val="Accentuation"/>
          <w:rFonts w:asciiTheme="minorHAnsi" w:hAnsiTheme="minorHAnsi" w:cstheme="minorHAnsi"/>
          <w:sz w:val="28"/>
          <w:szCs w:val="28"/>
          <w:u w:val="single"/>
        </w:rPr>
      </w:pPr>
      <w:r w:rsidRPr="001A4AE2">
        <w:rPr>
          <w:rStyle w:val="Accentuation"/>
          <w:rFonts w:asciiTheme="minorHAnsi" w:hAnsiTheme="minorHAnsi" w:cstheme="minorHAnsi"/>
          <w:sz w:val="28"/>
          <w:szCs w:val="28"/>
          <w:u w:val="single"/>
        </w:rPr>
        <w:t>Conduction de l’influx nerveux :</w:t>
      </w:r>
    </w:p>
    <w:p w:rsidR="00A71C09" w:rsidRPr="001A4AE2" w:rsidRDefault="00A71C09" w:rsidP="001A4AE2">
      <w:pPr>
        <w:pStyle w:val="Paragraphedeliste"/>
        <w:numPr>
          <w:ilvl w:val="0"/>
          <w:numId w:val="18"/>
        </w:numPr>
        <w:jc w:val="both"/>
        <w:rPr>
          <w:rFonts w:cstheme="minorHAnsi"/>
          <w:color w:val="002060"/>
          <w:sz w:val="28"/>
          <w:szCs w:val="28"/>
        </w:rPr>
      </w:pPr>
      <w:r w:rsidRPr="001A4AE2">
        <w:rPr>
          <w:rFonts w:cstheme="minorHAnsi"/>
          <w:color w:val="002060"/>
          <w:sz w:val="28"/>
          <w:szCs w:val="28"/>
        </w:rPr>
        <w:t>Mise en évidence :</w:t>
      </w:r>
    </w:p>
    <w:p w:rsidR="00A71C09" w:rsidRPr="001A4AE2" w:rsidRDefault="00A71C09" w:rsidP="001A4AE2">
      <w:pPr>
        <w:spacing w:after="0"/>
        <w:ind w:left="54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>Un courant dépolarisant supraliminaire injecté à un point donné de la membrane d’un axone géant de Calmar, déclenche  sur toute sa longueur des PA d’amplitude constante.</w:t>
      </w:r>
    </w:p>
    <w:p w:rsidR="00A71C09" w:rsidRPr="001A4AE2" w:rsidRDefault="00A71C09" w:rsidP="001A4AE2">
      <w:pPr>
        <w:pStyle w:val="Paragraphedeliste"/>
        <w:numPr>
          <w:ilvl w:val="0"/>
          <w:numId w:val="18"/>
        </w:numPr>
        <w:jc w:val="both"/>
        <w:rPr>
          <w:rFonts w:cstheme="minorHAnsi"/>
          <w:color w:val="002060"/>
          <w:sz w:val="28"/>
          <w:szCs w:val="28"/>
        </w:rPr>
      </w:pPr>
      <w:r w:rsidRPr="001A4AE2">
        <w:rPr>
          <w:rFonts w:cstheme="minorHAnsi"/>
          <w:color w:val="002060"/>
          <w:sz w:val="28"/>
          <w:szCs w:val="28"/>
        </w:rPr>
        <w:t>Mécanisme ionique de propagation de PA</w:t>
      </w:r>
    </w:p>
    <w:p w:rsidR="00A71C09" w:rsidRPr="001A4AE2" w:rsidRDefault="00A71C09" w:rsidP="001A4AE2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lastRenderedPageBreak/>
        <w:t xml:space="preserve">Le déclenchement d’un potentiel d’action en un point, provoque la formation de </w:t>
      </w:r>
      <w:r w:rsidRPr="001A4AE2">
        <w:rPr>
          <w:rFonts w:cstheme="minorHAnsi"/>
          <w:b/>
          <w:bCs/>
          <w:sz w:val="28"/>
          <w:szCs w:val="28"/>
        </w:rPr>
        <w:t>lignes de courant qui se rebouclent</w:t>
      </w:r>
      <w:r w:rsidRPr="001A4AE2">
        <w:rPr>
          <w:rFonts w:cstheme="minorHAnsi"/>
          <w:sz w:val="28"/>
          <w:szCs w:val="28"/>
        </w:rPr>
        <w:t xml:space="preserve">, ceci provoque </w:t>
      </w:r>
      <w:r w:rsidRPr="001A4AE2">
        <w:rPr>
          <w:rFonts w:cstheme="minorHAnsi"/>
          <w:b/>
          <w:bCs/>
          <w:sz w:val="28"/>
          <w:szCs w:val="28"/>
        </w:rPr>
        <w:t>l’ouverture de canaux sodiques</w:t>
      </w:r>
      <w:r w:rsidRPr="001A4AE2">
        <w:rPr>
          <w:rFonts w:cstheme="minorHAnsi"/>
          <w:sz w:val="28"/>
          <w:szCs w:val="28"/>
        </w:rPr>
        <w:t>, et déclenche alors un autre potentiel d’action qui se propage à son tour en répétant, le même cycle jusqu’à l’extrémité de l’axone.</w:t>
      </w:r>
    </w:p>
    <w:p w:rsidR="00A71C09" w:rsidRPr="001A4AE2" w:rsidRDefault="00A71C09" w:rsidP="001A4AE2">
      <w:pPr>
        <w:pStyle w:val="Sous-titre"/>
        <w:numPr>
          <w:ilvl w:val="0"/>
          <w:numId w:val="8"/>
        </w:numPr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1A4AE2">
        <w:rPr>
          <w:rFonts w:asciiTheme="minorHAnsi" w:hAnsiTheme="minorHAnsi" w:cstheme="minorHAnsi"/>
          <w:color w:val="002060"/>
          <w:sz w:val="28"/>
          <w:szCs w:val="28"/>
        </w:rPr>
        <w:t>vitesse de propagation de PA:</w:t>
      </w:r>
      <w:r w:rsidRPr="001A4AE2">
        <w:rPr>
          <w:rFonts w:asciiTheme="minorHAnsi" w:hAnsiTheme="minorHAnsi" w:cstheme="minorHAnsi"/>
          <w:i w:val="0"/>
          <w:iCs w:val="0"/>
          <w:color w:val="auto"/>
          <w:sz w:val="28"/>
          <w:szCs w:val="28"/>
        </w:rPr>
        <w:t xml:space="preserve"> </w:t>
      </w:r>
      <w:r w:rsidRPr="001A4AE2">
        <w:rPr>
          <w:rFonts w:asciiTheme="minorHAnsi" w:eastAsiaTheme="minorEastAsia" w:hAnsiTheme="minorHAnsi" w:cstheme="minorHAnsi"/>
          <w:i w:val="0"/>
          <w:iCs w:val="0"/>
          <w:color w:val="auto"/>
          <w:spacing w:val="0"/>
          <w:sz w:val="28"/>
          <w:szCs w:val="28"/>
        </w:rPr>
        <w:t xml:space="preserve">la vitesse de conduction dépend de 02 facteurs : </w:t>
      </w:r>
    </w:p>
    <w:p w:rsidR="00A71C09" w:rsidRPr="001A4AE2" w:rsidRDefault="00A71C09" w:rsidP="001A4AE2">
      <w:pPr>
        <w:pStyle w:val="Paragraphedeliste"/>
        <w:numPr>
          <w:ilvl w:val="0"/>
          <w:numId w:val="5"/>
        </w:numPr>
        <w:tabs>
          <w:tab w:val="left" w:pos="709"/>
          <w:tab w:val="left" w:pos="993"/>
        </w:tabs>
        <w:jc w:val="both"/>
        <w:rPr>
          <w:rFonts w:cstheme="minorHAnsi"/>
          <w:bCs/>
          <w:sz w:val="28"/>
          <w:szCs w:val="28"/>
          <w:u w:val="single"/>
        </w:rPr>
      </w:pPr>
      <w:r w:rsidRPr="001A4AE2">
        <w:rPr>
          <w:rFonts w:cstheme="minorHAnsi"/>
          <w:b/>
          <w:i/>
          <w:iCs/>
          <w:sz w:val="28"/>
          <w:szCs w:val="28"/>
        </w:rPr>
        <w:t>Le diamètre de l’axone :</w:t>
      </w:r>
      <w:r w:rsidRPr="001A4AE2">
        <w:rPr>
          <w:rFonts w:cstheme="minorHAnsi"/>
          <w:bCs/>
          <w:sz w:val="28"/>
          <w:szCs w:val="28"/>
        </w:rPr>
        <w:t xml:space="preserve"> Plus le diamètre de l'axone est de grand, plus sa vitesse de conduction est grande. </w:t>
      </w:r>
    </w:p>
    <w:p w:rsidR="00A71C09" w:rsidRPr="001A4AE2" w:rsidRDefault="00A71C09" w:rsidP="001A4AE2">
      <w:pPr>
        <w:pStyle w:val="Paragraphedeliste"/>
        <w:numPr>
          <w:ilvl w:val="0"/>
          <w:numId w:val="5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  <w:u w:val="single"/>
        </w:rPr>
      </w:pPr>
      <w:r w:rsidRPr="001A4AE2">
        <w:rPr>
          <w:rFonts w:cstheme="minorHAnsi"/>
          <w:b/>
          <w:bCs/>
          <w:i/>
          <w:iCs/>
          <w:sz w:val="28"/>
          <w:szCs w:val="28"/>
        </w:rPr>
        <w:t>La gaine myéline :</w:t>
      </w:r>
      <w:r w:rsidRPr="001A4AE2">
        <w:rPr>
          <w:rFonts w:cstheme="minorHAnsi"/>
          <w:sz w:val="28"/>
          <w:szCs w:val="28"/>
        </w:rPr>
        <w:t xml:space="preserve"> la gaine myéline joue le rôle d’un</w:t>
      </w:r>
      <w:r w:rsidRPr="001A4AE2">
        <w:rPr>
          <w:rFonts w:cstheme="minorHAnsi"/>
          <w:b/>
          <w:sz w:val="28"/>
          <w:szCs w:val="28"/>
        </w:rPr>
        <w:t> isolant électrique</w:t>
      </w:r>
      <w:r w:rsidRPr="001A4AE2">
        <w:rPr>
          <w:rFonts w:cstheme="minorHAnsi"/>
          <w:sz w:val="28"/>
          <w:szCs w:val="28"/>
        </w:rPr>
        <w:t xml:space="preserve"> ce qui </w:t>
      </w:r>
      <w:r w:rsidRPr="001A4AE2">
        <w:rPr>
          <w:rFonts w:cstheme="minorHAnsi"/>
          <w:b/>
          <w:sz w:val="28"/>
          <w:szCs w:val="28"/>
        </w:rPr>
        <w:t>augmente la vitesse de propagation de PA</w:t>
      </w:r>
      <w:r w:rsidRPr="001A4AE2">
        <w:rPr>
          <w:rFonts w:cstheme="minorHAnsi"/>
          <w:sz w:val="28"/>
          <w:szCs w:val="28"/>
        </w:rPr>
        <w:t>.</w:t>
      </w:r>
    </w:p>
    <w:p w:rsidR="00A71C09" w:rsidRPr="001A4AE2" w:rsidRDefault="00A71C09" w:rsidP="001A4AE2">
      <w:pPr>
        <w:pStyle w:val="Paragraphedeliste"/>
        <w:numPr>
          <w:ilvl w:val="0"/>
          <w:numId w:val="6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  <w:u w:val="single"/>
        </w:rPr>
      </w:pPr>
      <w:r w:rsidRPr="001A4AE2">
        <w:rPr>
          <w:rFonts w:cstheme="minorHAnsi"/>
          <w:sz w:val="28"/>
          <w:szCs w:val="28"/>
        </w:rPr>
        <w:t xml:space="preserve">pour des </w:t>
      </w:r>
      <w:r w:rsidRPr="001A4AE2">
        <w:rPr>
          <w:rFonts w:cstheme="minorHAnsi"/>
          <w:b/>
          <w:bCs/>
          <w:sz w:val="28"/>
          <w:szCs w:val="28"/>
        </w:rPr>
        <w:t>axones non myélinisés</w:t>
      </w:r>
      <w:r w:rsidRPr="001A4AE2">
        <w:rPr>
          <w:rFonts w:cstheme="minorHAnsi"/>
          <w:sz w:val="28"/>
          <w:szCs w:val="28"/>
        </w:rPr>
        <w:t xml:space="preserve"> ; le PA se propage de proche en proche ; et  la </w:t>
      </w:r>
      <w:r w:rsidRPr="001A4AE2">
        <w:rPr>
          <w:rFonts w:cstheme="minorHAnsi"/>
          <w:b/>
          <w:bCs/>
          <w:sz w:val="28"/>
          <w:szCs w:val="28"/>
        </w:rPr>
        <w:t>vitesse</w:t>
      </w:r>
      <w:r w:rsidRPr="001A4AE2">
        <w:rPr>
          <w:rFonts w:cstheme="minorHAnsi"/>
          <w:sz w:val="28"/>
          <w:szCs w:val="28"/>
        </w:rPr>
        <w:t xml:space="preserve"> de conduction est </w:t>
      </w:r>
      <w:r w:rsidRPr="001A4AE2">
        <w:rPr>
          <w:rFonts w:cstheme="minorHAnsi"/>
          <w:b/>
          <w:bCs/>
          <w:sz w:val="28"/>
          <w:szCs w:val="28"/>
        </w:rPr>
        <w:t>lente</w:t>
      </w:r>
      <w:r w:rsidRPr="001A4AE2">
        <w:rPr>
          <w:rFonts w:cstheme="minorHAnsi"/>
          <w:sz w:val="28"/>
          <w:szCs w:val="28"/>
        </w:rPr>
        <w:t xml:space="preserve">, de l’ordre de 0,5 à 2 m/s. </w:t>
      </w:r>
    </w:p>
    <w:p w:rsidR="00A71C09" w:rsidRPr="001A4AE2" w:rsidRDefault="00A71C09" w:rsidP="001A4AE2">
      <w:pPr>
        <w:pStyle w:val="Paragraphedeliste"/>
        <w:numPr>
          <w:ilvl w:val="0"/>
          <w:numId w:val="6"/>
        </w:numPr>
        <w:tabs>
          <w:tab w:val="left" w:pos="709"/>
          <w:tab w:val="left" w:pos="993"/>
        </w:tabs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Pour les </w:t>
      </w:r>
      <w:r w:rsidRPr="001A4AE2">
        <w:rPr>
          <w:rFonts w:cstheme="minorHAnsi"/>
          <w:b/>
          <w:bCs/>
          <w:sz w:val="28"/>
          <w:szCs w:val="28"/>
        </w:rPr>
        <w:t>axones myélinisés </w:t>
      </w:r>
      <w:r w:rsidRPr="001A4AE2">
        <w:rPr>
          <w:rFonts w:cstheme="minorHAnsi"/>
          <w:sz w:val="28"/>
          <w:szCs w:val="28"/>
        </w:rPr>
        <w:t>; le PA se propage d’une manière</w:t>
      </w:r>
      <w:r w:rsidRPr="001A4AE2">
        <w:rPr>
          <w:rFonts w:cstheme="minorHAnsi"/>
          <w:b/>
          <w:bCs/>
          <w:sz w:val="28"/>
          <w:szCs w:val="28"/>
        </w:rPr>
        <w:t xml:space="preserve"> saltatoire</w:t>
      </w:r>
      <w:r w:rsidRPr="001A4AE2">
        <w:rPr>
          <w:rFonts w:cstheme="minorHAnsi"/>
          <w:sz w:val="28"/>
          <w:szCs w:val="28"/>
        </w:rPr>
        <w:t>, d’un nœud de Ranvier à un autre ; ce qui permet d’</w:t>
      </w:r>
      <w:r w:rsidRPr="001A4AE2">
        <w:rPr>
          <w:rFonts w:cstheme="minorHAnsi"/>
          <w:b/>
          <w:bCs/>
          <w:sz w:val="28"/>
          <w:szCs w:val="28"/>
        </w:rPr>
        <w:t>augmenter la vitesse de conduction</w:t>
      </w:r>
      <w:r w:rsidRPr="001A4AE2">
        <w:rPr>
          <w:rFonts w:cstheme="minorHAnsi"/>
          <w:sz w:val="28"/>
          <w:szCs w:val="28"/>
        </w:rPr>
        <w:t xml:space="preserve"> qui se situe entre 2 et 120 m/s selon le type de fibre myélinisée. </w:t>
      </w:r>
    </w:p>
    <w:p w:rsidR="00A71C09" w:rsidRPr="001A4AE2" w:rsidRDefault="00A71C09" w:rsidP="001A4AE2">
      <w:pPr>
        <w:spacing w:after="0"/>
        <w:ind w:left="720"/>
        <w:jc w:val="both"/>
        <w:rPr>
          <w:rFonts w:cstheme="minorHAnsi"/>
          <w:sz w:val="28"/>
          <w:szCs w:val="28"/>
        </w:rPr>
      </w:pPr>
      <w:r w:rsidRPr="001A4AE2">
        <w:rPr>
          <w:rFonts w:cstheme="minorHAnsi"/>
          <w:sz w:val="28"/>
          <w:szCs w:val="28"/>
        </w:rPr>
        <w:t xml:space="preserve">Ces deux aspects morphologiques (diamètre, myéline) ont permis d’établir des classifications des fibres nerveuses. </w:t>
      </w:r>
    </w:p>
    <w:p w:rsidR="00A71C09" w:rsidRPr="001A4AE2" w:rsidRDefault="00A71C09" w:rsidP="001A4AE2">
      <w:pPr>
        <w:spacing w:after="0"/>
        <w:ind w:left="720"/>
        <w:jc w:val="both"/>
        <w:rPr>
          <w:rFonts w:cstheme="minorHAnsi"/>
          <w:sz w:val="28"/>
          <w:szCs w:val="28"/>
        </w:rPr>
      </w:pPr>
    </w:p>
    <w:p w:rsidR="00A71C09" w:rsidRPr="001A4AE2" w:rsidRDefault="00A71C09" w:rsidP="001A4AE2">
      <w:pPr>
        <w:jc w:val="both"/>
        <w:rPr>
          <w:rFonts w:cstheme="minorHAnsi"/>
          <w:sz w:val="28"/>
          <w:szCs w:val="28"/>
        </w:rPr>
      </w:pPr>
    </w:p>
    <w:p w:rsidR="00A71C09" w:rsidRPr="001A4AE2" w:rsidRDefault="00A71C09" w:rsidP="001A4AE2">
      <w:pPr>
        <w:jc w:val="both"/>
        <w:rPr>
          <w:rFonts w:cstheme="minorHAnsi"/>
          <w:sz w:val="28"/>
          <w:szCs w:val="28"/>
        </w:rPr>
      </w:pPr>
    </w:p>
    <w:p w:rsidR="00A71C09" w:rsidRPr="001A4AE2" w:rsidRDefault="00A71C09" w:rsidP="001A4AE2">
      <w:pPr>
        <w:jc w:val="both"/>
        <w:rPr>
          <w:rFonts w:eastAsia="Times New Roman" w:cstheme="minorHAnsi"/>
          <w:sz w:val="28"/>
          <w:szCs w:val="28"/>
        </w:rPr>
      </w:pPr>
    </w:p>
    <w:p w:rsidR="00C63E9E" w:rsidRPr="001A4AE2" w:rsidRDefault="00C63E9E" w:rsidP="001A4AE2">
      <w:pPr>
        <w:rPr>
          <w:rFonts w:cstheme="minorHAnsi"/>
          <w:sz w:val="28"/>
          <w:szCs w:val="28"/>
        </w:rPr>
      </w:pPr>
    </w:p>
    <w:sectPr w:rsidR="00C63E9E" w:rsidRPr="001A4AE2" w:rsidSect="0065520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5A" w:rsidRDefault="008C585A" w:rsidP="00F67254">
      <w:pPr>
        <w:spacing w:after="0" w:line="240" w:lineRule="auto"/>
      </w:pPr>
      <w:r>
        <w:separator/>
      </w:r>
    </w:p>
  </w:endnote>
  <w:endnote w:type="continuationSeparator" w:id="1">
    <w:p w:rsidR="008C585A" w:rsidRDefault="008C585A" w:rsidP="00F6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12"/>
      <w:docPartObj>
        <w:docPartGallery w:val="Page Numbers (Bottom of Page)"/>
        <w:docPartUnique/>
      </w:docPartObj>
    </w:sdtPr>
    <w:sdtContent>
      <w:p w:rsidR="00F67254" w:rsidRDefault="00F45210">
        <w:pPr>
          <w:pStyle w:val="Pieddepage"/>
          <w:jc w:val="right"/>
        </w:pPr>
        <w:fldSimple w:instr=" PAGE   \* MERGEFORMAT ">
          <w:r w:rsidR="001A4AE2">
            <w:rPr>
              <w:noProof/>
            </w:rPr>
            <w:t>7</w:t>
          </w:r>
        </w:fldSimple>
      </w:p>
    </w:sdtContent>
  </w:sdt>
  <w:p w:rsidR="00F67254" w:rsidRDefault="00F672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5A" w:rsidRDefault="008C585A" w:rsidP="00F67254">
      <w:pPr>
        <w:spacing w:after="0" w:line="240" w:lineRule="auto"/>
      </w:pPr>
      <w:r>
        <w:separator/>
      </w:r>
    </w:p>
  </w:footnote>
  <w:footnote w:type="continuationSeparator" w:id="1">
    <w:p w:rsidR="008C585A" w:rsidRDefault="008C585A" w:rsidP="00F6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476"/>
      </v:shape>
    </w:pict>
  </w:numPicBullet>
  <w:abstractNum w:abstractNumId="0">
    <w:nsid w:val="02040847"/>
    <w:multiLevelType w:val="hybridMultilevel"/>
    <w:tmpl w:val="878A54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F5EDC"/>
    <w:multiLevelType w:val="hybridMultilevel"/>
    <w:tmpl w:val="B3A65BBC"/>
    <w:lvl w:ilvl="0" w:tplc="030070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7606"/>
    <w:multiLevelType w:val="hybridMultilevel"/>
    <w:tmpl w:val="6498845E"/>
    <w:lvl w:ilvl="0" w:tplc="116EEC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61F7"/>
    <w:multiLevelType w:val="hybridMultilevel"/>
    <w:tmpl w:val="05E44A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34C56"/>
    <w:multiLevelType w:val="hybridMultilevel"/>
    <w:tmpl w:val="9D8CAF5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B90796"/>
    <w:multiLevelType w:val="hybridMultilevel"/>
    <w:tmpl w:val="AE98B16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17085"/>
    <w:multiLevelType w:val="hybridMultilevel"/>
    <w:tmpl w:val="38F21EB6"/>
    <w:lvl w:ilvl="0" w:tplc="8B8E5012">
      <w:start w:val="1"/>
      <w:numFmt w:val="ordin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6E88"/>
    <w:multiLevelType w:val="hybridMultilevel"/>
    <w:tmpl w:val="5DC60CD4"/>
    <w:lvl w:ilvl="0" w:tplc="76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78E6"/>
    <w:multiLevelType w:val="hybridMultilevel"/>
    <w:tmpl w:val="D7BCE79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602CBE"/>
    <w:multiLevelType w:val="hybridMultilevel"/>
    <w:tmpl w:val="A2E48E02"/>
    <w:lvl w:ilvl="0" w:tplc="8C88C23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443B6D"/>
    <w:multiLevelType w:val="hybridMultilevel"/>
    <w:tmpl w:val="FB660500"/>
    <w:lvl w:ilvl="0" w:tplc="469659BE">
      <w:start w:val="1"/>
      <w:numFmt w:val="lowerLetter"/>
      <w:lvlText w:val="%1)"/>
      <w:lvlJc w:val="left"/>
      <w:pPr>
        <w:ind w:left="1068" w:hanging="360"/>
      </w:pPr>
      <w:rPr>
        <w:i/>
        <w:iCs/>
        <w:color w:val="C0000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9A2DBA"/>
    <w:multiLevelType w:val="hybridMultilevel"/>
    <w:tmpl w:val="7ABCFC7C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0834E7"/>
    <w:multiLevelType w:val="hybridMultilevel"/>
    <w:tmpl w:val="94E0F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81341"/>
    <w:multiLevelType w:val="hybridMultilevel"/>
    <w:tmpl w:val="2C10E8C8"/>
    <w:lvl w:ilvl="0" w:tplc="E17A83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D26BD"/>
    <w:multiLevelType w:val="hybridMultilevel"/>
    <w:tmpl w:val="75F0E6DA"/>
    <w:lvl w:ilvl="0" w:tplc="D3504616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423CD"/>
    <w:multiLevelType w:val="hybridMultilevel"/>
    <w:tmpl w:val="9C946B0A"/>
    <w:lvl w:ilvl="0" w:tplc="DBF86D6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i/>
        <w:i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7734CA"/>
    <w:multiLevelType w:val="hybridMultilevel"/>
    <w:tmpl w:val="5EEE3BD8"/>
    <w:lvl w:ilvl="0" w:tplc="39ACD69C">
      <w:numFmt w:val="bullet"/>
      <w:lvlText w:val="-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CC55C46"/>
    <w:multiLevelType w:val="hybridMultilevel"/>
    <w:tmpl w:val="41222866"/>
    <w:lvl w:ilvl="0" w:tplc="EECCA96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C09"/>
    <w:rsid w:val="001A4AE2"/>
    <w:rsid w:val="002F38A4"/>
    <w:rsid w:val="00655208"/>
    <w:rsid w:val="0068563A"/>
    <w:rsid w:val="00762A45"/>
    <w:rsid w:val="008C585A"/>
    <w:rsid w:val="00A71C09"/>
    <w:rsid w:val="00B61296"/>
    <w:rsid w:val="00C63E9E"/>
    <w:rsid w:val="00F25E58"/>
    <w:rsid w:val="00F45210"/>
    <w:rsid w:val="00F67254"/>
    <w:rsid w:val="00F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8A4"/>
  </w:style>
  <w:style w:type="paragraph" w:styleId="Titre1">
    <w:name w:val="heading 1"/>
    <w:basedOn w:val="Normal"/>
    <w:next w:val="Normal"/>
    <w:link w:val="Titre1Car"/>
    <w:uiPriority w:val="9"/>
    <w:qFormat/>
    <w:rsid w:val="00A71C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1C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A71C0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71C09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C0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71C09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1C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1C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A71C09"/>
    <w:rPr>
      <w:i/>
      <w:iCs/>
      <w:color w:val="808080" w:themeColor="text1" w:themeTint="7F"/>
    </w:rPr>
  </w:style>
  <w:style w:type="paragraph" w:styleId="NormalWeb">
    <w:name w:val="Normal (Web)"/>
    <w:basedOn w:val="Normal"/>
    <w:rsid w:val="00A7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6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7254"/>
  </w:style>
  <w:style w:type="paragraph" w:styleId="Pieddepage">
    <w:name w:val="footer"/>
    <w:basedOn w:val="Normal"/>
    <w:link w:val="PieddepageCar"/>
    <w:uiPriority w:val="99"/>
    <w:unhideWhenUsed/>
    <w:rsid w:val="00F6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254"/>
  </w:style>
  <w:style w:type="paragraph" w:styleId="Sansinterligne">
    <w:name w:val="No Spacing"/>
    <w:link w:val="SansinterligneCar"/>
    <w:uiPriority w:val="1"/>
    <w:qFormat/>
    <w:rsid w:val="00655208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520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8A2081B3604C0497E419B12621D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E948F-6615-4DD6-9A06-ADCBC2FC86DF}"/>
      </w:docPartPr>
      <w:docPartBody>
        <w:p w:rsidR="00000000" w:rsidRDefault="006D4D7A" w:rsidP="006D4D7A">
          <w:pPr>
            <w:pStyle w:val="7B8A2081B3604C0497E419B12621D0C1"/>
          </w:pPr>
          <w:r>
            <w:rPr>
              <w:rFonts w:asciiTheme="majorHAnsi" w:eastAsiaTheme="majorEastAsia" w:hAnsiTheme="majorHAnsi" w:cstheme="majorBidi"/>
              <w:caps/>
            </w:rPr>
            <w:t>[Tapez le nom de la société]</w:t>
          </w:r>
        </w:p>
      </w:docPartBody>
    </w:docPart>
    <w:docPart>
      <w:docPartPr>
        <w:name w:val="9833CD932FFD47EAABE03A8B5A86D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1B462-1E3B-4808-8C99-53BA7BC1B363}"/>
      </w:docPartPr>
      <w:docPartBody>
        <w:p w:rsidR="00000000" w:rsidRDefault="006D4D7A" w:rsidP="006D4D7A">
          <w:pPr>
            <w:pStyle w:val="9833CD932FFD47EAABE03A8B5A86DD2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  <w:docPart>
      <w:docPartPr>
        <w:name w:val="0425130209FD49EEA8D674BB30472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602EF-D421-4C9C-8E6E-AD2BDDC3BE45}"/>
      </w:docPartPr>
      <w:docPartBody>
        <w:p w:rsidR="00000000" w:rsidRDefault="006D4D7A" w:rsidP="006D4D7A">
          <w:pPr>
            <w:pStyle w:val="0425130209FD49EEA8D674BB30472142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[Tapez le sous-titre du document]</w:t>
          </w:r>
        </w:p>
      </w:docPartBody>
    </w:docPart>
    <w:docPart>
      <w:docPartPr>
        <w:name w:val="E5044E7DF92E4C2F9E50105FA43B5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ACD95-CB3D-4A8B-AB90-025BD0D1BD3C}"/>
      </w:docPartPr>
      <w:docPartBody>
        <w:p w:rsidR="00000000" w:rsidRDefault="006D4D7A" w:rsidP="006D4D7A">
          <w:pPr>
            <w:pStyle w:val="E5044E7DF92E4C2F9E50105FA43B52B5"/>
          </w:pPr>
          <w:r>
            <w:rPr>
              <w:b/>
              <w:bCs/>
            </w:rPr>
            <w:t>[Tapez le nom de l'auteur]</w:t>
          </w:r>
        </w:p>
      </w:docPartBody>
    </w:docPart>
    <w:docPart>
      <w:docPartPr>
        <w:name w:val="6CB6C98E4AC148A9AEC7C06A00EFA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DCDA8-E710-47AE-8DEC-FAAB2846F4E2}"/>
      </w:docPartPr>
      <w:docPartBody>
        <w:p w:rsidR="00000000" w:rsidRDefault="006D4D7A" w:rsidP="006D4D7A">
          <w:pPr>
            <w:pStyle w:val="6CB6C98E4AC148A9AEC7C06A00EFAB87"/>
          </w:pPr>
          <w:r>
            <w:rPr>
              <w:b/>
              <w:bCs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7D08"/>
    <w:rsid w:val="003B7D08"/>
    <w:rsid w:val="006D4D7A"/>
    <w:rsid w:val="00AE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C9851B86D44207A3502344BE4D6446">
    <w:name w:val="76C9851B86D44207A3502344BE4D6446"/>
    <w:rsid w:val="003B7D08"/>
  </w:style>
  <w:style w:type="paragraph" w:customStyle="1" w:styleId="9412829299C3486B8EB1E92B8C58832A">
    <w:name w:val="9412829299C3486B8EB1E92B8C58832A"/>
    <w:rsid w:val="003B7D08"/>
  </w:style>
  <w:style w:type="paragraph" w:customStyle="1" w:styleId="859B1D0D53544E788A3FB3EFF7291824">
    <w:name w:val="859B1D0D53544E788A3FB3EFF7291824"/>
    <w:rsid w:val="003B7D08"/>
  </w:style>
  <w:style w:type="paragraph" w:customStyle="1" w:styleId="28E5FE0B1CD54EA39AFBD1514C37B43B">
    <w:name w:val="28E5FE0B1CD54EA39AFBD1514C37B43B"/>
    <w:rsid w:val="003B7D08"/>
  </w:style>
  <w:style w:type="paragraph" w:customStyle="1" w:styleId="7540703B969845E59F605C27562764AB">
    <w:name w:val="7540703B969845E59F605C27562764AB"/>
    <w:rsid w:val="003B7D08"/>
  </w:style>
  <w:style w:type="paragraph" w:customStyle="1" w:styleId="7B8A2081B3604C0497E419B12621D0C1">
    <w:name w:val="7B8A2081B3604C0497E419B12621D0C1"/>
    <w:rsid w:val="006D4D7A"/>
  </w:style>
  <w:style w:type="paragraph" w:customStyle="1" w:styleId="9833CD932FFD47EAABE03A8B5A86DD2D">
    <w:name w:val="9833CD932FFD47EAABE03A8B5A86DD2D"/>
    <w:rsid w:val="006D4D7A"/>
  </w:style>
  <w:style w:type="paragraph" w:customStyle="1" w:styleId="0425130209FD49EEA8D674BB30472142">
    <w:name w:val="0425130209FD49EEA8D674BB30472142"/>
    <w:rsid w:val="006D4D7A"/>
  </w:style>
  <w:style w:type="paragraph" w:customStyle="1" w:styleId="E5044E7DF92E4C2F9E50105FA43B52B5">
    <w:name w:val="E5044E7DF92E4C2F9E50105FA43B52B5"/>
    <w:rsid w:val="006D4D7A"/>
  </w:style>
  <w:style w:type="paragraph" w:customStyle="1" w:styleId="6CB6C98E4AC148A9AEC7C06A00EFAB87">
    <w:name w:val="6CB6C98E4AC148A9AEC7C06A00EFAB87"/>
    <w:rsid w:val="006D4D7A"/>
  </w:style>
  <w:style w:type="paragraph" w:customStyle="1" w:styleId="2D88591BFF21493BB7C996307AEF8081">
    <w:name w:val="2D88591BFF21493BB7C996307AEF8081"/>
    <w:rsid w:val="006D4D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>Première année   médecine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Physiologie de la membrane cellulaire  </dc:title>
  <dc:subject>Electrophysiologie      </dc:subject>
  <dc:creator>Dr Benahmed   </dc:creator>
  <cp:keywords/>
  <dc:description/>
  <cp:lastModifiedBy>TOCHIBA</cp:lastModifiedBy>
  <cp:revision>8</cp:revision>
  <dcterms:created xsi:type="dcterms:W3CDTF">2018-09-28T15:28:00Z</dcterms:created>
  <dcterms:modified xsi:type="dcterms:W3CDTF">2019-10-20T09:35:00Z</dcterms:modified>
</cp:coreProperties>
</file>