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78" w:rsidRDefault="00667878" w:rsidP="0066787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REPUBLIQUE ALGERIENNE DEMOCRATIQUE ET POPULAIRE </w:t>
      </w:r>
    </w:p>
    <w:p w:rsidR="00667878" w:rsidRDefault="00667878" w:rsidP="0066787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UNIVERSITE BADJI MOKHETAR ANNABA </w:t>
      </w:r>
    </w:p>
    <w:p w:rsidR="00667878" w:rsidRDefault="00B7552E" w:rsidP="0066787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FACULTE DE MEDECINE </w:t>
      </w:r>
    </w:p>
    <w:p w:rsidR="00B7552E" w:rsidRDefault="00B7552E" w:rsidP="0066787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DEPARTEMENT DE MEDECINE DENTAIRE</w:t>
      </w:r>
    </w:p>
    <w:p w:rsidR="00B7552E" w:rsidRDefault="00B7552E" w:rsidP="00B7552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7552E" w:rsidRDefault="00B7552E" w:rsidP="00B7552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7552E" w:rsidRDefault="00B7552E" w:rsidP="00B7552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7552E" w:rsidRDefault="00B7552E" w:rsidP="00B7552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7552E" w:rsidRDefault="00B7552E" w:rsidP="00B7552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7552E" w:rsidRDefault="00B7552E" w:rsidP="0066787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911D8">
        <w:rPr>
          <w:rFonts w:asciiTheme="majorBidi" w:hAnsiTheme="majorBidi" w:cstheme="majorBidi"/>
          <w:b/>
          <w:bCs/>
          <w:sz w:val="28"/>
          <w:szCs w:val="28"/>
        </w:rPr>
        <w:t xml:space="preserve">COURS   DE  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4911D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911D8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EME   </w:t>
      </w:r>
      <w:r w:rsidRPr="004911D8">
        <w:rPr>
          <w:rFonts w:asciiTheme="majorBidi" w:hAnsiTheme="majorBidi" w:cstheme="majorBidi"/>
          <w:b/>
          <w:bCs/>
          <w:sz w:val="28"/>
          <w:szCs w:val="28"/>
        </w:rPr>
        <w:t xml:space="preserve">ANNEE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667878">
        <w:rPr>
          <w:rFonts w:asciiTheme="majorBidi" w:hAnsiTheme="majorBidi" w:cstheme="majorBidi"/>
          <w:b/>
          <w:bCs/>
          <w:sz w:val="28"/>
          <w:szCs w:val="28"/>
        </w:rPr>
        <w:t xml:space="preserve">ODONTOLOGIE </w:t>
      </w:r>
      <w:r>
        <w:rPr>
          <w:rFonts w:asciiTheme="majorBidi" w:hAnsiTheme="majorBidi" w:cstheme="majorBidi"/>
          <w:b/>
          <w:bCs/>
          <w:sz w:val="28"/>
          <w:szCs w:val="28"/>
        </w:rPr>
        <w:t>GERIATRI</w:t>
      </w:r>
      <w:r w:rsidR="00667878">
        <w:rPr>
          <w:rFonts w:asciiTheme="majorBidi" w:hAnsiTheme="majorBidi" w:cstheme="majorBidi"/>
          <w:b/>
          <w:bCs/>
          <w:sz w:val="28"/>
          <w:szCs w:val="28"/>
        </w:rPr>
        <w:t>QUE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7552E" w:rsidRDefault="00B7552E" w:rsidP="00B7552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7552E" w:rsidRDefault="00B7552E" w:rsidP="00DB1154">
      <w:pPr>
        <w:jc w:val="center"/>
        <w:rPr>
          <w:rFonts w:asciiTheme="majorBidi" w:hAnsiTheme="majorBidi" w:cstheme="majorBidi"/>
          <w:b/>
          <w:bCs/>
          <w:color w:val="1F497D" w:themeColor="text2"/>
          <w:sz w:val="36"/>
          <w:szCs w:val="36"/>
        </w:rPr>
      </w:pPr>
      <w:r w:rsidRPr="00DB1154">
        <w:rPr>
          <w:rFonts w:asciiTheme="majorBidi" w:hAnsiTheme="majorBidi" w:cstheme="majorBidi"/>
          <w:b/>
          <w:bCs/>
          <w:color w:val="1F497D" w:themeColor="text2"/>
          <w:sz w:val="36"/>
          <w:szCs w:val="36"/>
        </w:rPr>
        <w:t>D</w:t>
      </w:r>
      <w:r w:rsidR="00DB1154" w:rsidRPr="00DB1154">
        <w:rPr>
          <w:rFonts w:asciiTheme="majorBidi" w:hAnsiTheme="majorBidi" w:cstheme="majorBidi"/>
          <w:b/>
          <w:bCs/>
          <w:color w:val="1F497D" w:themeColor="text2"/>
          <w:sz w:val="36"/>
          <w:szCs w:val="36"/>
        </w:rPr>
        <w:t>OULEURS ORO-FACIALES CHEZ LE SUJET AGE</w:t>
      </w:r>
    </w:p>
    <w:p w:rsidR="00DB1154" w:rsidRDefault="00DB1154" w:rsidP="00DB1154">
      <w:pPr>
        <w:jc w:val="center"/>
        <w:rPr>
          <w:rFonts w:asciiTheme="majorBidi" w:hAnsiTheme="majorBidi" w:cstheme="majorBidi"/>
          <w:b/>
          <w:bCs/>
          <w:color w:val="1F497D" w:themeColor="text2"/>
          <w:sz w:val="36"/>
          <w:szCs w:val="36"/>
        </w:rPr>
      </w:pPr>
    </w:p>
    <w:p w:rsidR="00DB1154" w:rsidRPr="00DB1154" w:rsidRDefault="00DB1154" w:rsidP="00DB1154">
      <w:pPr>
        <w:jc w:val="center"/>
        <w:rPr>
          <w:rFonts w:asciiTheme="majorBidi" w:hAnsiTheme="majorBidi" w:cstheme="majorBidi"/>
          <w:b/>
          <w:bCs/>
          <w:color w:val="1F497D" w:themeColor="text2"/>
          <w:sz w:val="36"/>
          <w:szCs w:val="36"/>
        </w:rPr>
      </w:pPr>
    </w:p>
    <w:p w:rsidR="00B7552E" w:rsidRPr="004911D8" w:rsidRDefault="00B7552E" w:rsidP="00B7552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7552E" w:rsidRPr="004911D8" w:rsidRDefault="00B7552E" w:rsidP="00B7552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911D8">
        <w:rPr>
          <w:rFonts w:asciiTheme="majorBidi" w:hAnsiTheme="majorBidi" w:cstheme="majorBidi"/>
          <w:b/>
          <w:bCs/>
          <w:sz w:val="28"/>
          <w:szCs w:val="28"/>
        </w:rPr>
        <w:t>2019/2020</w:t>
      </w:r>
    </w:p>
    <w:p w:rsidR="00B7552E" w:rsidRPr="004911D8" w:rsidRDefault="00B7552E" w:rsidP="00B7552E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7552E" w:rsidRDefault="00B7552E" w:rsidP="00B7552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552E" w:rsidRDefault="00B7552E" w:rsidP="00B7552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552E" w:rsidRDefault="00B7552E" w:rsidP="00B7552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552E" w:rsidRDefault="00B7552E" w:rsidP="00B7552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552E" w:rsidRDefault="00B7552E" w:rsidP="00B7552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552E" w:rsidRDefault="00B7552E" w:rsidP="00B7552E">
      <w:pPr>
        <w:tabs>
          <w:tab w:val="left" w:pos="5414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  <w:t>Dr : BENGHERSALLAH.D</w:t>
      </w:r>
    </w:p>
    <w:p w:rsidR="00B7552E" w:rsidRDefault="00B7552E" w:rsidP="00B7552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552E" w:rsidRDefault="00B7552E" w:rsidP="00B7552E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B7552E" w:rsidRDefault="00B7552E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</w:pPr>
    </w:p>
    <w:p w:rsidR="000C21ED" w:rsidRDefault="000C21ED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</w:pPr>
    </w:p>
    <w:p w:rsidR="00D52DBF" w:rsidRPr="00DB1154" w:rsidRDefault="00D52DBF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1F497D" w:themeColor="text2"/>
          <w:sz w:val="28"/>
          <w:szCs w:val="28"/>
          <w:lang w:eastAsia="en-US"/>
        </w:rPr>
      </w:pPr>
      <w:r w:rsidRPr="00DB1154">
        <w:rPr>
          <w:rFonts w:asciiTheme="majorBidi" w:eastAsiaTheme="minorHAnsi" w:hAnsiTheme="majorBidi" w:cstheme="majorBidi"/>
          <w:b/>
          <w:bCs/>
          <w:color w:val="1F497D" w:themeColor="text2"/>
          <w:sz w:val="28"/>
          <w:szCs w:val="28"/>
          <w:lang w:eastAsia="en-US"/>
        </w:rPr>
        <w:t>1- Introduction- Définition</w:t>
      </w:r>
    </w:p>
    <w:p w:rsidR="00D52DBF" w:rsidRPr="00D52DBF" w:rsidRDefault="00D52DBF" w:rsidP="00DB1154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D52DBF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La douleur est l'expression d'une expérience sensorielle et émotionnelle désagréable, liée à une lésion tissulaire existante ou potentielle (ou décrite en termes d'une telle lésion}</w:t>
      </w:r>
      <w:r w:rsidR="00DB1154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. </w:t>
      </w:r>
    </w:p>
    <w:p w:rsidR="00D52DBF" w:rsidRPr="00D52DBF" w:rsidRDefault="00D52DBF" w:rsidP="00EB1703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D52DBF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Les douleurs </w:t>
      </w:r>
      <w:proofErr w:type="spellStart"/>
      <w:r w:rsidRPr="00D52DBF">
        <w:rPr>
          <w:rFonts w:asciiTheme="majorBidi" w:eastAsiaTheme="minorHAnsi" w:hAnsiTheme="majorBidi" w:cstheme="majorBidi"/>
          <w:sz w:val="24"/>
          <w:szCs w:val="24"/>
          <w:lang w:eastAsia="en-US"/>
        </w:rPr>
        <w:t>orofaciales</w:t>
      </w:r>
      <w:proofErr w:type="spellEnd"/>
      <w:r w:rsidRPr="00D52DBF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sont des douleurs circonscrites ou</w:t>
      </w:r>
      <w:r w:rsid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D52DBF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référées aux structures</w:t>
      </w:r>
      <w:r w:rsidR="00EB1703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D52DBF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anatomiques orales, </w:t>
      </w:r>
      <w:proofErr w:type="spellStart"/>
      <w:r w:rsidRPr="00D52DBF">
        <w:rPr>
          <w:rFonts w:asciiTheme="majorBidi" w:eastAsiaTheme="minorHAnsi" w:hAnsiTheme="majorBidi" w:cstheme="majorBidi"/>
          <w:sz w:val="24"/>
          <w:szCs w:val="24"/>
          <w:lang w:eastAsia="en-US"/>
        </w:rPr>
        <w:t>périorales</w:t>
      </w:r>
      <w:proofErr w:type="spellEnd"/>
      <w:r w:rsidRPr="00D52DBF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ou faciales dues à des conditions cliniques locales, régionales</w:t>
      </w:r>
      <w:r w:rsidR="00EB1703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D52DBF">
        <w:rPr>
          <w:rFonts w:asciiTheme="majorBidi" w:eastAsiaTheme="minorHAnsi" w:hAnsiTheme="majorBidi" w:cstheme="majorBidi"/>
          <w:sz w:val="24"/>
          <w:szCs w:val="24"/>
          <w:lang w:eastAsia="en-US"/>
        </w:rPr>
        <w:t>ou systémiques ou par des dysfonctionnements du système nerveux central.</w:t>
      </w:r>
    </w:p>
    <w:p w:rsidR="00EB1703" w:rsidRPr="00FA79CB" w:rsidRDefault="00D52DBF" w:rsidP="00FA79C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La douleur est la principale plainte buccale des sujets âgés. </w:t>
      </w:r>
    </w:p>
    <w:p w:rsidR="00EB1703" w:rsidRPr="00FA79CB" w:rsidRDefault="00D52DBF" w:rsidP="00FA79C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>La prise en charge des douleurs</w:t>
      </w:r>
      <w:r w:rsidR="00EB1703"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>nociceptives aigues (Infectieuses, traumatiques et post opératoires} répondent</w:t>
      </w:r>
      <w:r w:rsidR="00EB1703"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favorablement à des protocoles de traitement bien codifié. </w:t>
      </w:r>
    </w:p>
    <w:p w:rsidR="00D52DBF" w:rsidRDefault="00D52DBF" w:rsidP="00FA79C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>Par contre ce ne sont pas les</w:t>
      </w:r>
      <w:r w:rsidR="00EB1703"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>seules douleurs de la face, certaines d'entre elles peuvent être révélatrices d'atteintes sans</w:t>
      </w:r>
      <w:r w:rsidR="00EB1703"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>rapport direct avec la cavité buccale.</w:t>
      </w:r>
    </w:p>
    <w:p w:rsidR="00DB1154" w:rsidRPr="00DB1154" w:rsidRDefault="00DB1154" w:rsidP="00DB1154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eastAsia="en-US"/>
        </w:rPr>
      </w:pPr>
    </w:p>
    <w:p w:rsidR="00D52DBF" w:rsidRDefault="00D52DBF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1F497D" w:themeColor="text2"/>
          <w:sz w:val="24"/>
          <w:szCs w:val="24"/>
          <w:lang w:eastAsia="en-US"/>
        </w:rPr>
      </w:pPr>
      <w:r w:rsidRPr="00DB1154">
        <w:rPr>
          <w:rFonts w:asciiTheme="majorBidi" w:eastAsiaTheme="minorHAnsi" w:hAnsiTheme="majorBidi" w:cstheme="majorBidi"/>
          <w:b/>
          <w:bCs/>
          <w:color w:val="1F497D" w:themeColor="text2"/>
          <w:sz w:val="24"/>
          <w:szCs w:val="24"/>
          <w:lang w:eastAsia="en-US"/>
        </w:rPr>
        <w:t>2- Douleur et sujet âgé</w:t>
      </w:r>
      <w:r w:rsidR="00FA79CB" w:rsidRPr="00DB1154">
        <w:rPr>
          <w:rFonts w:asciiTheme="majorBidi" w:eastAsiaTheme="minorHAnsi" w:hAnsiTheme="majorBidi" w:cstheme="majorBidi"/>
          <w:b/>
          <w:bCs/>
          <w:color w:val="1F497D" w:themeColor="text2"/>
          <w:sz w:val="24"/>
          <w:szCs w:val="24"/>
          <w:lang w:eastAsia="en-US"/>
        </w:rPr>
        <w:t xml:space="preserve"> : </w:t>
      </w:r>
      <w:r w:rsidR="00EB1703" w:rsidRPr="00DB1154">
        <w:rPr>
          <w:rFonts w:asciiTheme="majorBidi" w:eastAsiaTheme="minorHAnsi" w:hAnsiTheme="majorBidi" w:cstheme="majorBidi"/>
          <w:b/>
          <w:bCs/>
          <w:color w:val="1F497D" w:themeColor="text2"/>
          <w:sz w:val="24"/>
          <w:szCs w:val="24"/>
          <w:lang w:eastAsia="en-US"/>
        </w:rPr>
        <w:t xml:space="preserve"> </w:t>
      </w:r>
    </w:p>
    <w:p w:rsidR="00DB1154" w:rsidRPr="00DB1154" w:rsidRDefault="00DB1154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1F497D" w:themeColor="text2"/>
          <w:sz w:val="24"/>
          <w:szCs w:val="24"/>
          <w:lang w:eastAsia="en-US"/>
        </w:rPr>
      </w:pPr>
    </w:p>
    <w:p w:rsidR="00D52DBF" w:rsidRPr="00D52DBF" w:rsidRDefault="00D52DBF" w:rsidP="00DB1154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D52DBF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Les patients </w:t>
      </w:r>
      <w:r w:rsidR="00DB1154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âgés </w:t>
      </w:r>
      <w:r w:rsidRPr="00D52DBF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présentent une forte prévalence de la douleur. Celle-ci varie de</w:t>
      </w:r>
    </w:p>
    <w:p w:rsidR="00D52DBF" w:rsidRPr="00D52DBF" w:rsidRDefault="00D52DBF" w:rsidP="00DB1154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D52DBF">
        <w:rPr>
          <w:rFonts w:asciiTheme="majorBidi" w:eastAsiaTheme="minorHAnsi" w:hAnsiTheme="majorBidi" w:cstheme="majorBidi"/>
          <w:sz w:val="24"/>
          <w:szCs w:val="24"/>
          <w:lang w:eastAsia="en-US"/>
        </w:rPr>
        <w:t>60% à 80% en fonction des études. Ces derniers ont au moins 75 ans et se caractérisent par</w:t>
      </w:r>
      <w:r w:rsidR="00EB1703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D52DBF">
        <w:rPr>
          <w:rFonts w:asciiTheme="majorBidi" w:eastAsiaTheme="minorHAnsi" w:hAnsiTheme="majorBidi" w:cstheme="majorBidi"/>
          <w:sz w:val="24"/>
          <w:szCs w:val="24"/>
          <w:lang w:eastAsia="en-US"/>
        </w:rPr>
        <w:t>la coexistence de plusieurs pathologies chroniques invalidantes à l'origine d'une dépendance</w:t>
      </w:r>
      <w:r w:rsidR="00EB1703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="00DB1154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D52DBF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physique et/ou psychique et par l'intrication fréquente des pathologies </w:t>
      </w:r>
      <w:proofErr w:type="spellStart"/>
      <w:r w:rsidRPr="00D52DBF">
        <w:rPr>
          <w:rFonts w:asciiTheme="majorBidi" w:eastAsiaTheme="minorHAnsi" w:hAnsiTheme="majorBidi" w:cstheme="majorBidi"/>
          <w:sz w:val="24"/>
          <w:szCs w:val="24"/>
          <w:lang w:eastAsia="en-US"/>
        </w:rPr>
        <w:t>neuro</w:t>
      </w:r>
      <w:proofErr w:type="spellEnd"/>
      <w:r w:rsidRPr="00D52DBF">
        <w:rPr>
          <w:rFonts w:asciiTheme="majorBidi" w:eastAsiaTheme="minorHAnsi" w:hAnsiTheme="majorBidi" w:cstheme="majorBidi"/>
          <w:sz w:val="24"/>
          <w:szCs w:val="24"/>
          <w:lang w:eastAsia="en-US"/>
        </w:rPr>
        <w:t>-dégénératives</w:t>
      </w:r>
      <w:r w:rsidR="00DB1154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D52DBF">
        <w:rPr>
          <w:rFonts w:asciiTheme="majorBidi" w:eastAsiaTheme="minorHAnsi" w:hAnsiTheme="majorBidi" w:cstheme="majorBidi"/>
          <w:sz w:val="24"/>
          <w:szCs w:val="24"/>
          <w:lang w:eastAsia="en-US"/>
        </w:rPr>
        <w:t>et somatiques.</w:t>
      </w:r>
    </w:p>
    <w:p w:rsidR="00D52DBF" w:rsidRPr="00D52DBF" w:rsidRDefault="00D52DBF" w:rsidP="00DB1154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D52DBF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La spécificité de la population </w:t>
      </w:r>
      <w:r w:rsidR="00DB1154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âgée  </w:t>
      </w:r>
      <w:r w:rsidRPr="00D52DBF">
        <w:rPr>
          <w:rFonts w:asciiTheme="majorBidi" w:eastAsiaTheme="minorHAnsi" w:hAnsiTheme="majorBidi" w:cstheme="majorBidi"/>
          <w:sz w:val="24"/>
          <w:szCs w:val="24"/>
          <w:lang w:eastAsia="en-US"/>
        </w:rPr>
        <w:t>est à l'origine d'un certain nombre de difficulté:</w:t>
      </w:r>
    </w:p>
    <w:p w:rsidR="00EB1703" w:rsidRDefault="00D52DBF" w:rsidP="00EB170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Les troubles cognitifs sont présents chez la majorité des patients. </w:t>
      </w:r>
    </w:p>
    <w:p w:rsidR="00D52DBF" w:rsidRPr="00EB1703" w:rsidRDefault="00D52DBF" w:rsidP="00D52DB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sz w:val="24"/>
          <w:szCs w:val="24"/>
          <w:lang w:eastAsia="en-US"/>
        </w:rPr>
        <w:t>Ceci est d'autant</w:t>
      </w:r>
      <w:r w:rsidR="00EB1703" w:rsidRPr="00EB1703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sz w:val="24"/>
          <w:szCs w:val="24"/>
          <w:lang w:eastAsia="en-US"/>
        </w:rPr>
        <w:t>plus que les patients âgés ont naturellement des difficultés à exprimer la douleur</w:t>
      </w:r>
      <w:r w:rsidR="00EB1703" w:rsidRPr="00EB1703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sz w:val="24"/>
          <w:szCs w:val="24"/>
          <w:lang w:eastAsia="en-US"/>
        </w:rPr>
        <w:t>qu'elle soit vécue comme une fatalité ou confondue avec de la souffrance.</w:t>
      </w:r>
    </w:p>
    <w:p w:rsidR="00D52DBF" w:rsidRPr="00FA79CB" w:rsidRDefault="00D52DBF" w:rsidP="00FA79C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>L'évaluation à une place importante de la démarche de prise en charge.</w:t>
      </w:r>
    </w:p>
    <w:p w:rsidR="00D52DBF" w:rsidRPr="00FA79CB" w:rsidRDefault="00D52DBF" w:rsidP="00FA79C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>Les causes de la douleur sont nombreuses et de nature variable excès de nociception,</w:t>
      </w:r>
      <w:r w:rsidR="00EB1703"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</w:p>
    <w:p w:rsidR="00EB1703" w:rsidRDefault="00D52DBF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proofErr w:type="spellStart"/>
      <w:proofErr w:type="gramStart"/>
      <w:r w:rsidRPr="00D52DBF">
        <w:rPr>
          <w:rFonts w:asciiTheme="majorBidi" w:eastAsiaTheme="minorHAnsi" w:hAnsiTheme="majorBidi" w:cstheme="majorBidi"/>
          <w:sz w:val="24"/>
          <w:szCs w:val="24"/>
          <w:lang w:eastAsia="en-US"/>
        </w:rPr>
        <w:t>neuropathiques</w:t>
      </w:r>
      <w:proofErr w:type="spellEnd"/>
      <w:proofErr w:type="gramEnd"/>
      <w:r w:rsidRPr="00D52DBF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ou mixtes. </w:t>
      </w:r>
    </w:p>
    <w:p w:rsidR="00D52DBF" w:rsidRPr="00FA79CB" w:rsidRDefault="00D52DBF" w:rsidP="00FA79C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>Le diagnostic est parfois difficile, la démarche doit être</w:t>
      </w:r>
      <w:r w:rsidR="00EB1703"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>soigneuse.</w:t>
      </w:r>
    </w:p>
    <w:p w:rsidR="00FA79CB" w:rsidRDefault="00D52DBF" w:rsidP="00FA79C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Les sujets âgés ont des pathologies chroniques avec des décompensations aigues. </w:t>
      </w:r>
    </w:p>
    <w:p w:rsidR="00D52DBF" w:rsidRPr="00FA79CB" w:rsidRDefault="00D52DBF" w:rsidP="00FA79C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>Le</w:t>
      </w:r>
      <w:r w:rsidR="00EB1703"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>praticien est parfois astreint à établir des stratégies thérapeutiques complètements</w:t>
      </w:r>
      <w:r w:rsidR="00EB1703"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>opposées en fonction des patients et selon la situation.</w:t>
      </w:r>
      <w:r w:rsidR="00EB1703"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                         </w:t>
      </w:r>
    </w:p>
    <w:p w:rsidR="00D52DBF" w:rsidRPr="00FA79CB" w:rsidRDefault="00D52DBF" w:rsidP="00FA79C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>La prise en charge de la douleur en gériatrie doit tenir compte de tous ces paramètres.</w:t>
      </w:r>
    </w:p>
    <w:p w:rsidR="00D52DBF" w:rsidRPr="00FA79CB" w:rsidRDefault="00D52DBF" w:rsidP="00FA79C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FA79CB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L'évaluation de la douleur est le premier objectif à respecter. </w:t>
      </w:r>
      <w:r w:rsidRPr="00FA79C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Elle privilégie l'autoévaluation mais rapidement se transforme en </w:t>
      </w:r>
      <w:proofErr w:type="spellStart"/>
      <w:r w:rsidRPr="00FA79C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héteroévaluation</w:t>
      </w:r>
      <w:proofErr w:type="spellEnd"/>
      <w:r w:rsidRPr="00FA79C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.</w:t>
      </w:r>
    </w:p>
    <w:p w:rsidR="00D52DBF" w:rsidRPr="00EB1703" w:rsidRDefault="00D52DBF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</w:p>
    <w:p w:rsidR="00D52DBF" w:rsidRDefault="00D52DBF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1F497D" w:themeColor="text2"/>
          <w:sz w:val="24"/>
          <w:szCs w:val="24"/>
          <w:lang w:eastAsia="en-US"/>
        </w:rPr>
      </w:pPr>
      <w:r w:rsidRPr="00DB1154">
        <w:rPr>
          <w:rFonts w:asciiTheme="majorBidi" w:eastAsiaTheme="minorHAnsi" w:hAnsiTheme="majorBidi" w:cstheme="majorBidi"/>
          <w:b/>
          <w:bCs/>
          <w:color w:val="1F497D" w:themeColor="text2"/>
          <w:sz w:val="24"/>
          <w:szCs w:val="24"/>
          <w:lang w:eastAsia="en-US"/>
        </w:rPr>
        <w:t>3- Evaluation de la douleur chez le sujet âgé</w:t>
      </w:r>
    </w:p>
    <w:p w:rsidR="00DB1154" w:rsidRPr="00DB1154" w:rsidRDefault="00DB1154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1F497D" w:themeColor="text2"/>
          <w:sz w:val="24"/>
          <w:szCs w:val="24"/>
          <w:lang w:eastAsia="en-US"/>
        </w:rPr>
      </w:pPr>
    </w:p>
    <w:p w:rsidR="00D52DBF" w:rsidRDefault="00D52DBF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</w:pPr>
      <w:r w:rsidRPr="00DB1154"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  <w:t>3-1- L'autoévaluation</w:t>
      </w:r>
    </w:p>
    <w:p w:rsidR="00DB1154" w:rsidRPr="00DB1154" w:rsidRDefault="00DB1154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</w:pPr>
    </w:p>
    <w:p w:rsidR="00EB1703" w:rsidRDefault="00D52DBF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La plainte du patient demeure l'évaluation la plus exacte et la plus fiable. </w:t>
      </w:r>
      <w:r w:rsid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</w:p>
    <w:p w:rsidR="00D52DBF" w:rsidRPr="00EB1703" w:rsidRDefault="00D52DBF" w:rsidP="00EB1703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Les</w:t>
      </w:r>
      <w:r w:rsid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caractéristiques de la douleur et l'impact engendré sur la qualité de vie ou les activités de la</w:t>
      </w:r>
      <w:r w:rsid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vie quotidienne peuvent être obtenus chez la majorité des patients âgés même avec des</w:t>
      </w:r>
      <w:r w:rsid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troubles cognitifs. L'utilisation d'un schéma ou d'un dessin peut aider pour la localisation de</w:t>
      </w:r>
      <w:r w:rsid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la zone douloureuse.</w:t>
      </w:r>
    </w:p>
    <w:p w:rsidR="00DB1154" w:rsidRDefault="00D52DBF" w:rsidP="00DB1154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-Les échelles de douleur les plus appropriées chez la personne âgée sont l'échelle</w:t>
      </w:r>
      <w:r w:rsid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numérique et l'échelle verbale</w:t>
      </w:r>
      <w:r w:rsidR="00DB1154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.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 </w:t>
      </w:r>
    </w:p>
    <w:p w:rsidR="00D52DBF" w:rsidRPr="00EB1703" w:rsidRDefault="00D52DBF" w:rsidP="00DB1154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Il est conseillé</w:t>
      </w:r>
      <w:r w:rsid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d'utiliser des échelles avec de gros caractères pour une facilité de lecture.</w:t>
      </w:r>
    </w:p>
    <w:p w:rsidR="00E032CC" w:rsidRDefault="00E032CC" w:rsidP="00DB1154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</w:p>
    <w:p w:rsidR="00E032CC" w:rsidRDefault="00E032CC" w:rsidP="00DB1154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</w:p>
    <w:p w:rsidR="00E032CC" w:rsidRDefault="00E032CC" w:rsidP="00DB1154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</w:p>
    <w:p w:rsidR="00D52DBF" w:rsidRDefault="00D52DBF" w:rsidP="00DB1154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-L'échelle visuelle analogique (EVA) est beaucoup utilisée mais n'est pas très appropriée chez</w:t>
      </w:r>
      <w:r w:rsid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la personne âgée.</w:t>
      </w:r>
    </w:p>
    <w:p w:rsidR="00DB1154" w:rsidRDefault="00E032CC" w:rsidP="00DB1154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>
        <w:rPr>
          <w:rFonts w:asciiTheme="majorBidi" w:eastAsiaTheme="minorHAnsi" w:hAnsiTheme="majorBidi" w:cstheme="majorBidi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2232025</wp:posOffset>
            </wp:positionH>
            <wp:positionV relativeFrom="paragraph">
              <wp:posOffset>88265</wp:posOffset>
            </wp:positionV>
            <wp:extent cx="3757930" cy="202438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930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154" w:rsidRPr="00EB1703" w:rsidRDefault="00DB1154" w:rsidP="00DB1154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</w:p>
    <w:p w:rsidR="00E032CC" w:rsidRDefault="00E032CC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C00000"/>
          <w:sz w:val="24"/>
          <w:szCs w:val="24"/>
          <w:lang w:eastAsia="en-US"/>
        </w:rPr>
      </w:pPr>
    </w:p>
    <w:p w:rsidR="00E032CC" w:rsidRDefault="00E032CC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C00000"/>
          <w:sz w:val="24"/>
          <w:szCs w:val="24"/>
          <w:lang w:eastAsia="en-US"/>
        </w:rPr>
      </w:pPr>
    </w:p>
    <w:p w:rsidR="00E032CC" w:rsidRDefault="00E032CC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C00000"/>
          <w:sz w:val="24"/>
          <w:szCs w:val="24"/>
          <w:lang w:eastAsia="en-US"/>
        </w:rPr>
      </w:pPr>
    </w:p>
    <w:p w:rsidR="00E032CC" w:rsidRPr="00E032CC" w:rsidRDefault="00E032CC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</w:pPr>
      <w:r w:rsidRPr="00E032CC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lang w:eastAsia="en-US"/>
        </w:rPr>
        <w:t>L'échelle visuelle analogique (EVA)</w:t>
      </w:r>
    </w:p>
    <w:p w:rsidR="00E032CC" w:rsidRPr="00E032CC" w:rsidRDefault="00E032CC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</w:pPr>
    </w:p>
    <w:p w:rsidR="00E032CC" w:rsidRDefault="00E032CC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C00000"/>
          <w:sz w:val="24"/>
          <w:szCs w:val="24"/>
          <w:lang w:eastAsia="en-US"/>
        </w:rPr>
      </w:pPr>
    </w:p>
    <w:p w:rsidR="00E032CC" w:rsidRDefault="00E032CC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C00000"/>
          <w:sz w:val="24"/>
          <w:szCs w:val="24"/>
          <w:lang w:eastAsia="en-US"/>
        </w:rPr>
      </w:pPr>
    </w:p>
    <w:p w:rsidR="00E032CC" w:rsidRDefault="00E032CC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C00000"/>
          <w:sz w:val="24"/>
          <w:szCs w:val="24"/>
          <w:lang w:eastAsia="en-US"/>
        </w:rPr>
      </w:pPr>
    </w:p>
    <w:p w:rsidR="00E032CC" w:rsidRDefault="00E032CC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C00000"/>
          <w:sz w:val="24"/>
          <w:szCs w:val="24"/>
          <w:lang w:eastAsia="en-US"/>
        </w:rPr>
      </w:pPr>
    </w:p>
    <w:p w:rsidR="00E032CC" w:rsidRDefault="00E032CC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C00000"/>
          <w:sz w:val="24"/>
          <w:szCs w:val="24"/>
          <w:lang w:eastAsia="en-US"/>
        </w:rPr>
      </w:pPr>
    </w:p>
    <w:p w:rsidR="00E032CC" w:rsidRDefault="00E032CC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C00000"/>
          <w:sz w:val="24"/>
          <w:szCs w:val="24"/>
          <w:lang w:eastAsia="en-US"/>
        </w:rPr>
      </w:pPr>
    </w:p>
    <w:p w:rsidR="00E032CC" w:rsidRDefault="00E032CC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C00000"/>
          <w:sz w:val="24"/>
          <w:szCs w:val="24"/>
          <w:lang w:eastAsia="en-US"/>
        </w:rPr>
      </w:pPr>
      <w:r>
        <w:rPr>
          <w:rFonts w:asciiTheme="majorBidi" w:eastAsiaTheme="minorHAnsi" w:hAnsiTheme="majorBidi" w:cstheme="majorBidi"/>
          <w:noProof/>
          <w:color w:val="C00000"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-173174</wp:posOffset>
            </wp:positionH>
            <wp:positionV relativeFrom="paragraph">
              <wp:posOffset>9162</wp:posOffset>
            </wp:positionV>
            <wp:extent cx="3986893" cy="1480457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893" cy="148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2CC" w:rsidRDefault="00E032CC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C00000"/>
          <w:sz w:val="24"/>
          <w:szCs w:val="24"/>
          <w:lang w:eastAsia="en-US"/>
        </w:rPr>
      </w:pPr>
    </w:p>
    <w:p w:rsidR="00E032CC" w:rsidRDefault="00E032CC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C00000"/>
          <w:sz w:val="24"/>
          <w:szCs w:val="24"/>
          <w:lang w:eastAsia="en-US"/>
        </w:rPr>
      </w:pPr>
    </w:p>
    <w:p w:rsidR="00E032CC" w:rsidRPr="00E032CC" w:rsidRDefault="00E032CC" w:rsidP="00E032CC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</w:pPr>
      <w:r>
        <w:rPr>
          <w:rFonts w:asciiTheme="majorBidi" w:eastAsiaTheme="minorHAnsi" w:hAnsiTheme="majorBidi" w:cstheme="majorBidi"/>
          <w:color w:val="C00000"/>
          <w:sz w:val="24"/>
          <w:szCs w:val="24"/>
          <w:lang w:eastAsia="en-US"/>
        </w:rPr>
        <w:t xml:space="preserve">                                                                                                             </w:t>
      </w:r>
      <w:r w:rsidRPr="00E032CC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  <w:t xml:space="preserve"> L’échelle numérique </w:t>
      </w:r>
    </w:p>
    <w:p w:rsidR="00E032CC" w:rsidRDefault="00E032CC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C00000"/>
          <w:sz w:val="24"/>
          <w:szCs w:val="24"/>
          <w:lang w:eastAsia="en-US"/>
        </w:rPr>
      </w:pPr>
    </w:p>
    <w:p w:rsidR="00E032CC" w:rsidRDefault="00E032CC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C00000"/>
          <w:sz w:val="24"/>
          <w:szCs w:val="24"/>
          <w:lang w:eastAsia="en-US"/>
        </w:rPr>
      </w:pPr>
    </w:p>
    <w:p w:rsidR="00E032CC" w:rsidRDefault="00E032CC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C00000"/>
          <w:sz w:val="24"/>
          <w:szCs w:val="24"/>
          <w:lang w:eastAsia="en-US"/>
        </w:rPr>
      </w:pPr>
    </w:p>
    <w:p w:rsidR="00E032CC" w:rsidRDefault="00E032CC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C00000"/>
          <w:sz w:val="24"/>
          <w:szCs w:val="24"/>
          <w:lang w:eastAsia="en-US"/>
        </w:rPr>
      </w:pPr>
    </w:p>
    <w:p w:rsidR="00E032CC" w:rsidRDefault="00E032CC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C00000"/>
          <w:sz w:val="24"/>
          <w:szCs w:val="24"/>
          <w:lang w:eastAsia="en-US"/>
        </w:rPr>
      </w:pPr>
    </w:p>
    <w:p w:rsidR="00E032CC" w:rsidRDefault="00E032CC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C00000"/>
          <w:sz w:val="24"/>
          <w:szCs w:val="24"/>
          <w:lang w:eastAsia="en-US"/>
        </w:rPr>
      </w:pPr>
    </w:p>
    <w:p w:rsidR="00D52DBF" w:rsidRPr="00DB1154" w:rsidRDefault="00D52DBF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</w:pPr>
      <w:r w:rsidRPr="00DB1154">
        <w:rPr>
          <w:rFonts w:asciiTheme="majorBidi" w:eastAsiaTheme="minorHAnsi" w:hAnsiTheme="majorBidi" w:cstheme="majorBidi"/>
          <w:color w:val="C00000"/>
          <w:sz w:val="24"/>
          <w:szCs w:val="24"/>
          <w:lang w:eastAsia="en-US"/>
        </w:rPr>
        <w:t xml:space="preserve">3-2- </w:t>
      </w:r>
      <w:r w:rsidRPr="00DB1154"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  <w:t>Evaluation de la douleur chez les patients avec des troubles cognitifs ou de la</w:t>
      </w:r>
    </w:p>
    <w:p w:rsidR="00D52DBF" w:rsidRDefault="00BC3050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C00000"/>
          <w:sz w:val="24"/>
          <w:szCs w:val="24"/>
          <w:lang w:eastAsia="en-US"/>
        </w:rPr>
      </w:pPr>
      <w:r w:rsidRPr="00DB1154"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  <w:t>Communication</w:t>
      </w:r>
      <w:r w:rsidR="00D52DBF" w:rsidRPr="00DB1154"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  <w:t xml:space="preserve"> verbale : </w:t>
      </w:r>
      <w:proofErr w:type="spellStart"/>
      <w:r w:rsidR="00D52DBF" w:rsidRPr="00DB1154">
        <w:rPr>
          <w:rFonts w:asciiTheme="majorBidi" w:eastAsiaTheme="minorHAnsi" w:hAnsiTheme="majorBidi" w:cstheme="majorBidi"/>
          <w:color w:val="C00000"/>
          <w:sz w:val="24"/>
          <w:szCs w:val="24"/>
          <w:lang w:eastAsia="en-US"/>
        </w:rPr>
        <w:t>Héteroévaluation</w:t>
      </w:r>
      <w:proofErr w:type="spellEnd"/>
    </w:p>
    <w:p w:rsidR="00E032CC" w:rsidRPr="00DB1154" w:rsidRDefault="00E032CC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C00000"/>
          <w:sz w:val="24"/>
          <w:szCs w:val="24"/>
          <w:lang w:eastAsia="en-US"/>
        </w:rPr>
      </w:pPr>
    </w:p>
    <w:p w:rsidR="00DB1154" w:rsidRDefault="00D52DBF" w:rsidP="00BC3050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Lorsque l'autoévaluation est impossible en raison de troubles cognitifs ou de la</w:t>
      </w:r>
      <w:r w:rsid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communication verbale ; une échelle d'</w:t>
      </w:r>
      <w:proofErr w:type="spellStart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héteroévaluation</w:t>
      </w:r>
      <w:proofErr w:type="spellEnd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doit être utilisée. </w:t>
      </w:r>
    </w:p>
    <w:p w:rsidR="00D52DBF" w:rsidRPr="00EB1703" w:rsidRDefault="00D52DBF" w:rsidP="00DB1154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La douleur sera</w:t>
      </w:r>
      <w:r w:rsid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attentivement recherchée dans la modification du comportement du patient. Au cours de</w:t>
      </w:r>
      <w:r w:rsid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ces dernières années, un grand intérêt s'est porté sur le développement d'échelles</w:t>
      </w:r>
      <w:r w:rsidR="00DB1154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d'</w:t>
      </w:r>
      <w:proofErr w:type="spellStart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hétéroévaluation</w:t>
      </w:r>
      <w:proofErr w:type="spellEnd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afin de pallier aux difficultés de dépistage et de la prise en charge de la</w:t>
      </w:r>
      <w:r w:rsid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douleur du sujet âgé.</w:t>
      </w:r>
    </w:p>
    <w:p w:rsidR="00D52DBF" w:rsidRPr="00EB1703" w:rsidRDefault="00D52DBF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</w:p>
    <w:p w:rsidR="00D52DBF" w:rsidRPr="00EB1703" w:rsidRDefault="00D52DBF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</w:p>
    <w:p w:rsidR="00D52DBF" w:rsidRDefault="00D52DBF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1F497D" w:themeColor="text2"/>
          <w:sz w:val="24"/>
          <w:szCs w:val="24"/>
          <w:lang w:eastAsia="en-US"/>
        </w:rPr>
      </w:pPr>
      <w:r w:rsidRPr="00DB1154">
        <w:rPr>
          <w:rFonts w:asciiTheme="majorBidi" w:eastAsiaTheme="minorHAnsi" w:hAnsiTheme="majorBidi" w:cstheme="majorBidi"/>
          <w:b/>
          <w:bCs/>
          <w:color w:val="1F497D" w:themeColor="text2"/>
          <w:sz w:val="24"/>
          <w:szCs w:val="24"/>
          <w:lang w:eastAsia="en-US"/>
        </w:rPr>
        <w:t xml:space="preserve">4- Principales douleurs </w:t>
      </w:r>
      <w:proofErr w:type="spellStart"/>
      <w:r w:rsidRPr="00DB1154">
        <w:rPr>
          <w:rFonts w:asciiTheme="majorBidi" w:eastAsiaTheme="minorHAnsi" w:hAnsiTheme="majorBidi" w:cstheme="majorBidi"/>
          <w:b/>
          <w:bCs/>
          <w:color w:val="1F497D" w:themeColor="text2"/>
          <w:sz w:val="24"/>
          <w:szCs w:val="24"/>
          <w:lang w:eastAsia="en-US"/>
        </w:rPr>
        <w:t>orofaciales</w:t>
      </w:r>
      <w:proofErr w:type="spellEnd"/>
      <w:r w:rsidRPr="00DB1154">
        <w:rPr>
          <w:rFonts w:asciiTheme="majorBidi" w:eastAsiaTheme="minorHAnsi" w:hAnsiTheme="majorBidi" w:cstheme="majorBidi"/>
          <w:b/>
          <w:bCs/>
          <w:color w:val="1F497D" w:themeColor="text2"/>
          <w:sz w:val="24"/>
          <w:szCs w:val="24"/>
          <w:lang w:eastAsia="en-US"/>
        </w:rPr>
        <w:t xml:space="preserve"> du sujet âgé</w:t>
      </w:r>
      <w:r w:rsidR="00BC3050" w:rsidRPr="00DB1154">
        <w:rPr>
          <w:rFonts w:asciiTheme="majorBidi" w:eastAsiaTheme="minorHAnsi" w:hAnsiTheme="majorBidi" w:cstheme="majorBidi"/>
          <w:b/>
          <w:bCs/>
          <w:color w:val="1F497D" w:themeColor="text2"/>
          <w:sz w:val="24"/>
          <w:szCs w:val="24"/>
          <w:lang w:eastAsia="en-US"/>
        </w:rPr>
        <w:t xml:space="preserve"> : </w:t>
      </w:r>
    </w:p>
    <w:p w:rsidR="00DB1154" w:rsidRPr="00DB1154" w:rsidRDefault="00DB1154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1F497D" w:themeColor="text2"/>
          <w:sz w:val="24"/>
          <w:szCs w:val="24"/>
          <w:lang w:eastAsia="en-US"/>
        </w:rPr>
      </w:pPr>
    </w:p>
    <w:p w:rsidR="00DB1154" w:rsidRDefault="00D52DBF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La cavité buccale est le lieu d'expression privilégié de certaines douleurs chroniques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invalidantes dont l'</w:t>
      </w:r>
      <w:proofErr w:type="spellStart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étiopathogénie</w:t>
      </w:r>
      <w:proofErr w:type="spellEnd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reste largement inconnue.</w:t>
      </w:r>
    </w:p>
    <w:p w:rsidR="00D63DFA" w:rsidRDefault="00D52DBF" w:rsidP="00DB1154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Ces douleurs regroupent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plusieurs entités cliniques : douleur faciale, odontalgie atypique, </w:t>
      </w:r>
      <w:proofErr w:type="spellStart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stomatodynie</w:t>
      </w:r>
      <w:proofErr w:type="spellEnd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idiopathique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et certaines formes d'ADAM</w:t>
      </w:r>
      <w:r w:rsidR="00DB1154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.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</w:p>
    <w:p w:rsidR="000C37DF" w:rsidRDefault="00D52DBF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Ce sont des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douleurs mal comprises, mal définies, mal évaluées et souvent mal traitées. </w:t>
      </w:r>
    </w:p>
    <w:p w:rsidR="00D52DBF" w:rsidRDefault="00D52DBF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La ressemblance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des tableaux cliniques, le fait que les entités sont souvent présentes simultanément ou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successivement chez un même patient, qu'elles partagent des facteurs de risque et que leur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étiologie et </w:t>
      </w:r>
      <w:proofErr w:type="spellStart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physiopathogénie</w:t>
      </w:r>
      <w:proofErr w:type="spellEnd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sont pour l'essentiel inconnues laissent supposer qu'elles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possèdent des mécanismes </w:t>
      </w:r>
      <w:proofErr w:type="spellStart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étiopathogéniques</w:t>
      </w:r>
      <w:proofErr w:type="spellEnd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communs.</w:t>
      </w:r>
    </w:p>
    <w:p w:rsidR="000C37DF" w:rsidRDefault="000C37DF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</w:p>
    <w:p w:rsidR="00E032CC" w:rsidRDefault="00E032CC" w:rsidP="000C37D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</w:pPr>
    </w:p>
    <w:p w:rsidR="00E032CC" w:rsidRDefault="00E032CC" w:rsidP="000C37D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</w:pPr>
    </w:p>
    <w:p w:rsidR="000C37DF" w:rsidRPr="000C37DF" w:rsidRDefault="000C37DF" w:rsidP="000C37D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</w:pPr>
      <w:r w:rsidRPr="000C37DF"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  <w:t xml:space="preserve">4-1- Douleurs </w:t>
      </w:r>
      <w:proofErr w:type="spellStart"/>
      <w:r w:rsidRPr="000C37DF"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  <w:t>neuropathiques</w:t>
      </w:r>
      <w:proofErr w:type="spellEnd"/>
    </w:p>
    <w:p w:rsidR="000C37DF" w:rsidRPr="00EB1703" w:rsidRDefault="000C37DF" w:rsidP="000C37D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</w:p>
    <w:p w:rsidR="000C37DF" w:rsidRPr="00EB1703" w:rsidRDefault="000C37DF" w:rsidP="000C37D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Elle est caractérisée par une intensité et une durée plus marquées que la douleur chronique sans</w:t>
      </w:r>
      <w:r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prédominance </w:t>
      </w:r>
      <w:proofErr w:type="spellStart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neuropathique</w:t>
      </w:r>
      <w:proofErr w:type="spellEnd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. Diabète, zona, cancer affectent particulièrement les personnes âgées</w:t>
      </w:r>
      <w:r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et peuvent entraîner ce type de douleur.</w:t>
      </w:r>
    </w:p>
    <w:p w:rsidR="000C37DF" w:rsidRDefault="000C37DF" w:rsidP="000C37D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La douleur est qualifiée de </w:t>
      </w:r>
      <w:proofErr w:type="spellStart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neuropathique</w:t>
      </w:r>
      <w:proofErr w:type="spellEnd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lorsqu'existe une atteinte nerveuse due à une lésion ou un</w:t>
      </w:r>
      <w:r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dysfonctionnement du système nerveux central ou périphérique, ainsi que certains signes et</w:t>
      </w:r>
      <w:r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symptômes, dont un trouble de la sensibilité. </w:t>
      </w:r>
    </w:p>
    <w:p w:rsidR="000C37DF" w:rsidRDefault="000C37DF" w:rsidP="000C37D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Ces douleurs chroniques sont à type de brûlure, de</w:t>
      </w:r>
      <w:r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4piqûre, de compression, d'étau, ou dominées par des attaques ressemblant à des décharges</w:t>
      </w:r>
      <w:r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électriques ou des coups de couteau et sont violemment exacerbées, dans certains cas, par un</w:t>
      </w:r>
      <w:r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stimulus non nociceptif (</w:t>
      </w:r>
      <w:proofErr w:type="spellStart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a!lodynie</w:t>
      </w:r>
      <w:proofErr w:type="spellEnd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), comme le simple frôlement d'un vêtement. </w:t>
      </w:r>
    </w:p>
    <w:p w:rsidR="000C37DF" w:rsidRPr="00EB1703" w:rsidRDefault="000C37DF" w:rsidP="000C37D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Les douleurs sont</w:t>
      </w:r>
      <w:r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principalement ressenties dans le territoire du nerf lésé mais peuvent parfois s'étendre au delà.</w:t>
      </w:r>
    </w:p>
    <w:p w:rsidR="00D63DFA" w:rsidRPr="00EB1703" w:rsidRDefault="00D63DFA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</w:p>
    <w:p w:rsidR="00D52DBF" w:rsidRPr="000C37DF" w:rsidRDefault="00D52DBF" w:rsidP="000C37D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</w:pPr>
      <w:r w:rsidRPr="000C37DF"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  <w:t>4-</w:t>
      </w:r>
      <w:r w:rsidR="000C37DF"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  <w:t>2</w:t>
      </w:r>
      <w:r w:rsidRPr="000C37DF"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  <w:t>- Douleurs dentaires et personnes âgées</w:t>
      </w:r>
    </w:p>
    <w:p w:rsidR="00BC3050" w:rsidRDefault="00D52DBF" w:rsidP="00BC3050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La présence de pathologies liées au vieillissement et la survenue de la dépendance</w:t>
      </w:r>
      <w:r w:rsid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entrainent une dégradation de la santé orale. </w:t>
      </w:r>
    </w:p>
    <w:p w:rsidR="00D52DBF" w:rsidRPr="00EB1703" w:rsidRDefault="00D52DBF" w:rsidP="00BC3050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En l'absence de prévention et de soins</w:t>
      </w:r>
      <w:r w:rsid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adaptés, les douleurs générées par les lésions, en l'absence d'hygiène bucco-dentaire ont un</w:t>
      </w:r>
      <w:r w:rsid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impact négatif sur la qualité de vie orale, sur le bien être psychosocial et la nutrition, donc</w:t>
      </w:r>
      <w:r w:rsid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sur la santé générale.</w:t>
      </w:r>
    </w:p>
    <w:p w:rsidR="00D52DBF" w:rsidRPr="00EB1703" w:rsidRDefault="00D52DBF" w:rsidP="00BC3050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Chez le sujet âgé, la pathologie parodontale est la plus souvent rencontrée et elle est plus</w:t>
      </w:r>
      <w:r w:rsid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douloureuse que la pathologie pulpaire. Les particularités de la pathologie dentaire chez le</w:t>
      </w:r>
      <w:r w:rsid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sujet âgé sont les suivantes :</w:t>
      </w:r>
    </w:p>
    <w:p w:rsidR="00BC3050" w:rsidRDefault="00D52DBF" w:rsidP="00BC3050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- La prédominance des lésions carieuses cervicales, appelées plus communément caries</w:t>
      </w:r>
      <w:r w:rsid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radiculaires.</w:t>
      </w:r>
    </w:p>
    <w:p w:rsidR="00D52DBF" w:rsidRPr="00EB1703" w:rsidRDefault="00BC3050" w:rsidP="000C37D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- </w:t>
      </w:r>
      <w:r w:rsidR="00D52DBF"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-Les lésions non carieuses sont essentiellement représentées par des abrasions cervicales</w:t>
      </w:r>
      <w:r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="00D52DBF"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surtout liées à un brossage traumatique ou à une occlusion défavorable</w:t>
      </w:r>
    </w:p>
    <w:p w:rsidR="00D52DBF" w:rsidRPr="00EB1703" w:rsidRDefault="00D52DBF" w:rsidP="00BC3050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-Le complexe </w:t>
      </w:r>
      <w:proofErr w:type="spellStart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dentino</w:t>
      </w:r>
      <w:proofErr w:type="spellEnd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-pulpaire évoluant dans le temps vers un accroissement de la</w:t>
      </w:r>
      <w:r w:rsid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minéralisation, la diminution du volume de la cavité pulpaire explique la rareté de l'atteinte</w:t>
      </w:r>
      <w:r w:rsid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pulpaire inflammatoire.</w:t>
      </w:r>
    </w:p>
    <w:p w:rsidR="00D52DBF" w:rsidRPr="00EB1703" w:rsidRDefault="00D52DBF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-La fréquence et la sévérité plus importantes des maladies parodontales observées avec le</w:t>
      </w:r>
    </w:p>
    <w:p w:rsidR="00D52DBF" w:rsidRDefault="00D52DBF" w:rsidP="00BC3050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vieillissement seraient plutôt le résultat d'une exposition prolongée des tissus parodontaux à</w:t>
      </w:r>
      <w:r w:rsid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la plaque qu'une conséquence directe de la sénescence.</w:t>
      </w:r>
    </w:p>
    <w:p w:rsidR="00BC3050" w:rsidRPr="00EB1703" w:rsidRDefault="00BC3050" w:rsidP="00BC3050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</w:p>
    <w:p w:rsidR="00D52DBF" w:rsidRPr="000C37DF" w:rsidRDefault="00D52DBF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</w:pPr>
      <w:r w:rsidRPr="000C37DF"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  <w:t xml:space="preserve">4-3- </w:t>
      </w:r>
      <w:proofErr w:type="spellStart"/>
      <w:r w:rsidRPr="000C37DF"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  <w:t>Arthromyoalgie</w:t>
      </w:r>
      <w:proofErr w:type="spellEnd"/>
      <w:r w:rsidRPr="000C37DF"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  <w:t xml:space="preserve"> faciale</w:t>
      </w:r>
    </w:p>
    <w:p w:rsidR="000C37DF" w:rsidRDefault="00D52DBF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Avec le vieillissement,</w:t>
      </w:r>
      <w:r w:rsid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l'articulation s'atrophie de façon générale avec une adaptation fonctionnelle limitée. </w:t>
      </w:r>
    </w:p>
    <w:p w:rsidR="000C37DF" w:rsidRDefault="00D52DBF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Les</w:t>
      </w:r>
      <w:r w:rsid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cartilages s'usent aux points de friction et de pression. </w:t>
      </w:r>
    </w:p>
    <w:p w:rsidR="000C37DF" w:rsidRDefault="00D52DBF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Dès soixante ans, des modifications</w:t>
      </w:r>
      <w:r w:rsid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morphologiques </w:t>
      </w:r>
      <w:proofErr w:type="spellStart"/>
      <w:r w:rsidRP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condylo</w:t>
      </w:r>
      <w:proofErr w:type="spellEnd"/>
      <w:r w:rsidRP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-méniscales et méniscales sont observées, la cavité glénoïde étant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par contre moins atteinte. </w:t>
      </w:r>
    </w:p>
    <w:p w:rsidR="00D52DBF" w:rsidRPr="00BC3050" w:rsidRDefault="00D52DBF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Les lésions articulaires peuvent également être en rapport avec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une pathologie chronique telle que la polyarthrite rhumatoïde, le rhumatisme psoriasique et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le lupus érythémateux disséminé.</w:t>
      </w:r>
    </w:p>
    <w:p w:rsidR="00D52DBF" w:rsidRDefault="00D52DBF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Le dysfonctionnement de l'ATM est </w:t>
      </w:r>
      <w:r w:rsidR="00BC3050" w:rsidRP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caractérisé</w:t>
      </w:r>
      <w:r w:rsidRP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par des craquements ou des crépitements,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des douleurs </w:t>
      </w:r>
      <w:proofErr w:type="spellStart"/>
      <w:r w:rsidRP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oro</w:t>
      </w:r>
      <w:proofErr w:type="spellEnd"/>
      <w:r w:rsidRP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-faciales </w:t>
      </w:r>
      <w:proofErr w:type="spellStart"/>
      <w:r w:rsidRP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musculo</w:t>
      </w:r>
      <w:proofErr w:type="spellEnd"/>
      <w:r w:rsidRP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-squelettiques, des céphalées ou, dans les cas extrêmes,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des pertes d'équilibre. Cette symptomatologie est exacerbée chez les personnes âgées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édentées portant des prothèses dentaires inadéquates. Elle est associée à la diminution de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BC3050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la hauteur de l'occlusion qui provoque une usure exagérée de l'ATM.</w:t>
      </w:r>
    </w:p>
    <w:p w:rsidR="00D63DFA" w:rsidRPr="00BC3050" w:rsidRDefault="00D63DFA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</w:p>
    <w:p w:rsidR="00E032CC" w:rsidRDefault="00E032CC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</w:pPr>
    </w:p>
    <w:p w:rsidR="00D52DBF" w:rsidRDefault="00D52DBF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</w:pPr>
      <w:r w:rsidRPr="000C37DF"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  <w:t>4-4-</w:t>
      </w:r>
      <w:proofErr w:type="spellStart"/>
      <w:r w:rsidRPr="000C37DF"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  <w:t>Stomatodynie</w:t>
      </w:r>
      <w:proofErr w:type="spellEnd"/>
      <w:r w:rsidRPr="000C37DF"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  <w:t xml:space="preserve"> idiopathique</w:t>
      </w:r>
    </w:p>
    <w:p w:rsidR="000C37DF" w:rsidRPr="000C37DF" w:rsidRDefault="000C37DF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C00000"/>
          <w:sz w:val="24"/>
          <w:szCs w:val="24"/>
          <w:lang w:eastAsia="en-US"/>
        </w:rPr>
      </w:pPr>
    </w:p>
    <w:p w:rsidR="00667878" w:rsidRDefault="00D52DBF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Cette affection est caractérisée par une douleur de la muqueuse buccale sans cause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organique identifiable. </w:t>
      </w:r>
    </w:p>
    <w:p w:rsidR="00667878" w:rsidRDefault="00D52DBF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Cette définition exclut toutes les douleurs des muqueuses linguales,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et plus généralement orales, qui peuvent être expliquées par des états pathologiques locaux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ou systémiques identifiés. </w:t>
      </w:r>
    </w:p>
    <w:p w:rsidR="00667878" w:rsidRDefault="00D52DBF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La douleur est le signe cardinal de la </w:t>
      </w:r>
      <w:proofErr w:type="spellStart"/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stomatodynie</w:t>
      </w:r>
      <w:proofErr w:type="spellEnd"/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. </w:t>
      </w:r>
    </w:p>
    <w:p w:rsidR="00D63DFA" w:rsidRDefault="00D52DBF" w:rsidP="00667878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Elle est décrite comme une sensation de</w:t>
      </w:r>
      <w:r w:rsidR="00667878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brûlure prolongée de la muqueuse buccale</w:t>
      </w:r>
      <w:proofErr w:type="gramStart"/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,.</w:t>
      </w:r>
      <w:proofErr w:type="gramEnd"/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Cependant, des sensations de picotements et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engourdissement sont également rapportées. </w:t>
      </w:r>
    </w:p>
    <w:p w:rsidR="00D52DBF" w:rsidRPr="00226CA6" w:rsidRDefault="00D52DBF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La douleur apparaît généralement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spontanément sans facteur déclenchant</w:t>
      </w:r>
    </w:p>
    <w:p w:rsidR="00D52DBF" w:rsidRPr="00226CA6" w:rsidRDefault="00D52DBF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Les critères diagnostiques imposent une douleur continue présente depuis quatre-six mois.</w:t>
      </w:r>
    </w:p>
    <w:p w:rsidR="00D52DBF" w:rsidRPr="00226CA6" w:rsidRDefault="00D52DBF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La douleur buccale est presque toujours bilatérale et ressentie principalement sur la langue</w:t>
      </w:r>
    </w:p>
    <w:p w:rsidR="00D63DFA" w:rsidRDefault="00D52DBF" w:rsidP="00667878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, la lèvre inférieure, le palais dur. </w:t>
      </w:r>
    </w:p>
    <w:p w:rsidR="00D52DBF" w:rsidRPr="00226CA6" w:rsidRDefault="00D52DBF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La lèvre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supérieure et la région alvéolaire mandibulaire peuvent être affectées tandis que la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muqueuse jugale et le plancher de la bouche sont rarement concernés</w:t>
      </w:r>
    </w:p>
    <w:p w:rsidR="00D52DBF" w:rsidRPr="00226CA6" w:rsidRDefault="00D52DBF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</w:p>
    <w:p w:rsidR="00D52DBF" w:rsidRPr="00226CA6" w:rsidRDefault="00D52DBF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Cette douleur s'accompagne souvent d'une </w:t>
      </w:r>
      <w:proofErr w:type="spellStart"/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dysguesie</w:t>
      </w:r>
      <w:proofErr w:type="spellEnd"/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persistantes; il s'agit d'une altération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du goût avec une perception amère, métallique ou les deux.</w:t>
      </w:r>
    </w:p>
    <w:p w:rsidR="00667878" w:rsidRDefault="00D52DBF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Certains patients souffrant de </w:t>
      </w:r>
      <w:proofErr w:type="spellStart"/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stomatodyniques</w:t>
      </w:r>
      <w:proofErr w:type="spellEnd"/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se plaignent de xérostomie. </w:t>
      </w:r>
    </w:p>
    <w:p w:rsidR="00667878" w:rsidRDefault="00D52DBF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Il s'agit plus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d'une sensation subjective que d'une dysfonction salivaire objective. </w:t>
      </w:r>
    </w:p>
    <w:p w:rsidR="00D52DBF" w:rsidRPr="00226CA6" w:rsidRDefault="00D52DBF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Cette sensation semble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liée à des problèmes associés comme la dépression et notamment aux effets indésirables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des médicaments à action psychotrope, </w:t>
      </w:r>
      <w:proofErr w:type="spellStart"/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anticholinergiques</w:t>
      </w:r>
      <w:proofErr w:type="spellEnd"/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, antihistaminiques, ou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226CA6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diurétiques pris dans le cadre d'un traitement.</w:t>
      </w:r>
    </w:p>
    <w:p w:rsidR="00D63DFA" w:rsidRDefault="00D63DFA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</w:p>
    <w:p w:rsidR="00667878" w:rsidRDefault="00667878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</w:p>
    <w:p w:rsidR="00D52DBF" w:rsidRPr="00667878" w:rsidRDefault="00D52DBF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1F497D" w:themeColor="text2"/>
          <w:sz w:val="24"/>
          <w:szCs w:val="24"/>
          <w:lang w:eastAsia="en-US"/>
        </w:rPr>
      </w:pPr>
      <w:r w:rsidRPr="00667878">
        <w:rPr>
          <w:rFonts w:asciiTheme="majorBidi" w:eastAsiaTheme="minorHAnsi" w:hAnsiTheme="majorBidi" w:cstheme="majorBidi"/>
          <w:b/>
          <w:bCs/>
          <w:color w:val="1F497D" w:themeColor="text2"/>
          <w:sz w:val="24"/>
          <w:szCs w:val="24"/>
          <w:lang w:eastAsia="en-US"/>
        </w:rPr>
        <w:t>5-TRAITEMENTS DE LA DOULEUR</w:t>
      </w:r>
    </w:p>
    <w:p w:rsidR="00D63DFA" w:rsidRPr="00EB1703" w:rsidRDefault="00D63DFA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lang w:eastAsia="en-US"/>
        </w:rPr>
      </w:pPr>
    </w:p>
    <w:p w:rsidR="00D52DBF" w:rsidRPr="00EB1703" w:rsidRDefault="00D52DBF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lang w:eastAsia="en-US"/>
        </w:rPr>
        <w:t xml:space="preserve">Le traitement est étiologique,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quand cela est possible et raisonnable, chez le sujet âgé.</w:t>
      </w:r>
    </w:p>
    <w:p w:rsidR="00667878" w:rsidRDefault="00F751AD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lang w:eastAsia="en-US"/>
        </w:rPr>
        <w:t xml:space="preserve">5.1 </w:t>
      </w:r>
      <w:r w:rsidR="00D52DBF" w:rsidRPr="00EB1703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lang w:eastAsia="en-US"/>
        </w:rPr>
        <w:t xml:space="preserve">Un traitement symptomatique </w:t>
      </w:r>
      <w:r w:rsidR="00D52DBF"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doit être associé dans tous les cas. </w:t>
      </w:r>
    </w:p>
    <w:p w:rsidR="00667878" w:rsidRDefault="00D52DBF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Il peut être non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médicamenteux en fonction des étiologies et des possibilités du contexte. </w:t>
      </w:r>
    </w:p>
    <w:p w:rsidR="00D52DBF" w:rsidRPr="00EB1703" w:rsidRDefault="00D52DBF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Il peut aussi être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médicamenteux : antalgiques, </w:t>
      </w:r>
      <w:proofErr w:type="spellStart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co</w:t>
      </w:r>
      <w:proofErr w:type="spellEnd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-antalgiques, antidépresseurs, anticonvulsivants, ou encore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multifactoriel.</w:t>
      </w:r>
    </w:p>
    <w:p w:rsidR="00667878" w:rsidRDefault="00D52DBF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Il n y a pas de traitement symptomatique spécifique aux personnes âgées. </w:t>
      </w:r>
    </w:p>
    <w:p w:rsidR="00D63DFA" w:rsidRDefault="00D52DBF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Il est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essentiellement basé sur la prescription d'antalgiques. </w:t>
      </w:r>
    </w:p>
    <w:p w:rsidR="00D63DFA" w:rsidRDefault="00D52DBF" w:rsidP="00D63DFA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La progression de ces derniers se fait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de manière graduée selon l'échelle 0.M.S .Cette échelle ne concerne que les antalgiques, et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doit être utilisée en constante adaptation à la clinique et à l'étiologie. </w:t>
      </w:r>
    </w:p>
    <w:p w:rsidR="00D52DBF" w:rsidRDefault="00D52DBF" w:rsidP="00667878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Si les médicaments</w:t>
      </w:r>
      <w:r w:rsidR="00D63DFA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d'un palier sont inefficaces, on passe au palier suivant</w:t>
      </w:r>
      <w:r w:rsidR="00667878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.</w:t>
      </w:r>
    </w:p>
    <w:p w:rsidR="00667878" w:rsidRDefault="00667878" w:rsidP="00667878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</w:p>
    <w:p w:rsidR="00667878" w:rsidRPr="00EB1703" w:rsidRDefault="00667878" w:rsidP="00667878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</w:p>
    <w:p w:rsidR="00D52DBF" w:rsidRPr="00EB1703" w:rsidRDefault="00D52DBF" w:rsidP="00155939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667878">
        <w:rPr>
          <w:rFonts w:asciiTheme="majorBidi" w:eastAsiaTheme="minorHAnsi" w:hAnsiTheme="majorBidi" w:cstheme="majorBidi"/>
          <w:b/>
          <w:bCs/>
          <w:color w:val="C0504D" w:themeColor="accent2"/>
          <w:sz w:val="24"/>
          <w:szCs w:val="24"/>
          <w:lang w:eastAsia="en-US"/>
        </w:rPr>
        <w:t xml:space="preserve">Le palier 1 de l'échelle O.M.S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concerne les douleurs légères. On utilise pour le traitement</w:t>
      </w:r>
      <w:r w:rsidR="00155939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de ces douleurs des antalgiques dits« périphériques » comme le paracétamol et l'acide</w:t>
      </w:r>
      <w:r w:rsidR="00155939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</w:p>
    <w:p w:rsidR="00155939" w:rsidRDefault="00D52DBF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proofErr w:type="spellStart"/>
      <w:proofErr w:type="gramStart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acétyl</w:t>
      </w:r>
      <w:proofErr w:type="spellEnd"/>
      <w:proofErr w:type="gramEnd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salicylique. </w:t>
      </w:r>
    </w:p>
    <w:p w:rsidR="00D52DBF" w:rsidRDefault="00D52DBF" w:rsidP="00155939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L'utilisation de ce dernier sera prudente en gériatrie du fait de</w:t>
      </w:r>
      <w:r w:rsidR="00155939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l'importance des effets secondaires notamment digestifs.</w:t>
      </w:r>
    </w:p>
    <w:p w:rsidR="00667878" w:rsidRPr="00EB1703" w:rsidRDefault="00667878" w:rsidP="00155939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</w:p>
    <w:p w:rsidR="00D52DBF" w:rsidRPr="00EB1703" w:rsidRDefault="00D52DBF" w:rsidP="00155939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667878">
        <w:rPr>
          <w:rFonts w:asciiTheme="majorBidi" w:eastAsiaTheme="minorHAnsi" w:hAnsiTheme="majorBidi" w:cstheme="majorBidi"/>
          <w:b/>
          <w:bCs/>
          <w:color w:val="C0504D" w:themeColor="accent2"/>
          <w:sz w:val="24"/>
          <w:szCs w:val="24"/>
          <w:lang w:eastAsia="en-US"/>
        </w:rPr>
        <w:t>Le palier 2 de l'échelle O.M.S.</w:t>
      </w:r>
      <w:r w:rsidRPr="00EB1703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concerne les douleurs moyennes et </w:t>
      </w:r>
      <w:r w:rsidR="00155939"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regroupe-les</w:t>
      </w:r>
      <w:r w:rsidR="00155939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morphiniques mineurs, ainsi que d'autres classes médicamenteuses. Le chef de file du palier</w:t>
      </w:r>
    </w:p>
    <w:p w:rsidR="00D52DBF" w:rsidRDefault="00D52DBF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2 est la codéine. Sont également employés : le </w:t>
      </w:r>
      <w:proofErr w:type="spellStart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tramadol</w:t>
      </w:r>
      <w:proofErr w:type="spellEnd"/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et la noramidopyrine.</w:t>
      </w:r>
    </w:p>
    <w:p w:rsidR="00667878" w:rsidRPr="00EB1703" w:rsidRDefault="00667878" w:rsidP="00D52DB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</w:p>
    <w:p w:rsidR="00D52DBF" w:rsidRDefault="00D52DBF" w:rsidP="00155939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  <w:r w:rsidRPr="00667878">
        <w:rPr>
          <w:rFonts w:asciiTheme="majorBidi" w:eastAsiaTheme="minorHAnsi" w:hAnsiTheme="majorBidi" w:cstheme="majorBidi"/>
          <w:b/>
          <w:bCs/>
          <w:color w:val="C0504D" w:themeColor="accent2"/>
          <w:sz w:val="24"/>
          <w:szCs w:val="24"/>
          <w:lang w:eastAsia="en-US"/>
        </w:rPr>
        <w:t>Le palier 3 de l'</w:t>
      </w:r>
      <w:proofErr w:type="spellStart"/>
      <w:r w:rsidRPr="00667878">
        <w:rPr>
          <w:rFonts w:asciiTheme="majorBidi" w:eastAsiaTheme="minorHAnsi" w:hAnsiTheme="majorBidi" w:cstheme="majorBidi"/>
          <w:b/>
          <w:bCs/>
          <w:color w:val="C0504D" w:themeColor="accent2"/>
          <w:sz w:val="24"/>
          <w:szCs w:val="24"/>
          <w:lang w:eastAsia="en-US"/>
        </w:rPr>
        <w:t>échelie</w:t>
      </w:r>
      <w:proofErr w:type="spellEnd"/>
      <w:r w:rsidRPr="00667878">
        <w:rPr>
          <w:rFonts w:asciiTheme="majorBidi" w:eastAsiaTheme="minorHAnsi" w:hAnsiTheme="majorBidi" w:cstheme="majorBidi"/>
          <w:b/>
          <w:bCs/>
          <w:color w:val="C0504D" w:themeColor="accent2"/>
          <w:sz w:val="24"/>
          <w:szCs w:val="24"/>
          <w:lang w:eastAsia="en-US"/>
        </w:rPr>
        <w:t xml:space="preserve"> O.M.S.</w:t>
      </w:r>
      <w:r w:rsidRPr="00EB1703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concerne les douleurs importantes et fait appel aux</w:t>
      </w:r>
      <w:r w:rsidR="00155939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morphiniques majeurs. Leur chef de file est la morphine. Ces traitements s'appliquent aux</w:t>
      </w:r>
      <w:r w:rsidR="00155939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Pr="00EB1703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douleurs chroniques rebelles aux antalgiques de palier 1 ou 2.</w:t>
      </w:r>
    </w:p>
    <w:p w:rsidR="00F751AD" w:rsidRPr="00EB1703" w:rsidRDefault="00F751AD" w:rsidP="00155939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</w:pPr>
    </w:p>
    <w:p w:rsidR="00E032CC" w:rsidRDefault="00F751AD" w:rsidP="00E032CC">
      <w:pPr>
        <w:autoSpaceDE w:val="0"/>
        <w:autoSpaceDN w:val="0"/>
        <w:adjustRightInd w:val="0"/>
        <w:spacing w:after="0"/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</w:pPr>
      <w:r w:rsidRPr="00F751AD">
        <w:rPr>
          <w:rFonts w:asciiTheme="majorBidi" w:hAnsiTheme="majorBidi" w:cstheme="majorBidi"/>
          <w:b/>
          <w:bCs/>
          <w:sz w:val="24"/>
          <w:szCs w:val="24"/>
        </w:rPr>
        <w:t>5.2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032CC">
        <w:rPr>
          <w:rFonts w:asciiTheme="majorBidi" w:hAnsiTheme="majorBidi" w:cstheme="majorBidi"/>
          <w:sz w:val="24"/>
          <w:szCs w:val="24"/>
        </w:rPr>
        <w:t xml:space="preserve"> </w:t>
      </w:r>
      <w:r w:rsidR="00E032CC" w:rsidRPr="00E032CC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  <w:t>Les méthodes non médicamenteuses</w:t>
      </w:r>
      <w:r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  <w:t xml:space="preserve"> : </w:t>
      </w:r>
    </w:p>
    <w:p w:rsidR="00F751AD" w:rsidRPr="00E032CC" w:rsidRDefault="00F751AD" w:rsidP="00E032CC">
      <w:pPr>
        <w:autoSpaceDE w:val="0"/>
        <w:autoSpaceDN w:val="0"/>
        <w:adjustRightInd w:val="0"/>
        <w:spacing w:after="0"/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</w:pPr>
    </w:p>
    <w:p w:rsidR="00E032CC" w:rsidRPr="00E032CC" w:rsidRDefault="00E032CC" w:rsidP="00E032CC">
      <w:pPr>
        <w:autoSpaceDE w:val="0"/>
        <w:autoSpaceDN w:val="0"/>
        <w:adjustRightInd w:val="0"/>
        <w:spacing w:after="0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D’autres solutions existent mais sont peu adaptées à l’urgence. </w:t>
      </w:r>
    </w:p>
    <w:p w:rsidR="00E032CC" w:rsidRPr="00E032CC" w:rsidRDefault="00E032CC" w:rsidP="00E032CC">
      <w:pPr>
        <w:autoSpaceDE w:val="0"/>
        <w:autoSpaceDN w:val="0"/>
        <w:adjustRightInd w:val="0"/>
        <w:spacing w:after="0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– la relaxation agit avec une efficacité diverse sur la tension musculaire,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contribuant à contrôler la douleur et le stress émotif, qui agit à son tour sur la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tension musculaire et sur la douleur ;</w:t>
      </w:r>
    </w:p>
    <w:p w:rsidR="00E032CC" w:rsidRPr="00E032CC" w:rsidRDefault="00E032CC" w:rsidP="00E032CC">
      <w:pPr>
        <w:autoSpaceDE w:val="0"/>
        <w:autoSpaceDN w:val="0"/>
        <w:adjustRightInd w:val="0"/>
        <w:spacing w:after="0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–  l’hypnose en soins palliatifs permet une meilleure prise en charge de l’angoisse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du patient et une diminution notable de la consommation des antalgiques et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psychotropes ;</w:t>
      </w:r>
    </w:p>
    <w:p w:rsidR="00E032CC" w:rsidRPr="00E032CC" w:rsidRDefault="00E032CC" w:rsidP="00E032CC">
      <w:pPr>
        <w:autoSpaceDE w:val="0"/>
        <w:autoSpaceDN w:val="0"/>
        <w:adjustRightInd w:val="0"/>
        <w:spacing w:after="0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– la kinésithérapie a une place de choix dans la prise en charge globale de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 </w:t>
      </w: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la douleur. La mobilisation, douce passive et les massages permettent de réduire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les contractions douloureuses et l’enraidissement articulaire ; ils procurent une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sensation de bien-être ;</w:t>
      </w:r>
    </w:p>
    <w:p w:rsidR="00E032CC" w:rsidRPr="00E032CC" w:rsidRDefault="00E032CC" w:rsidP="00E032CC">
      <w:pPr>
        <w:autoSpaceDE w:val="0"/>
        <w:autoSpaceDN w:val="0"/>
        <w:adjustRightInd w:val="0"/>
        <w:spacing w:after="0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– la radiothérapie antalgique est la plus utilisée dans les douleurs d’origine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cancéreuse, en particulier en cas de métastases osseuses ou d’envahissement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spellStart"/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périmédullaire</w:t>
      </w:r>
      <w:proofErr w:type="spellEnd"/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.</w:t>
      </w:r>
    </w:p>
    <w:p w:rsidR="00E032CC" w:rsidRPr="00E032CC" w:rsidRDefault="00E032CC" w:rsidP="00E032CC">
      <w:pPr>
        <w:autoSpaceDE w:val="0"/>
        <w:autoSpaceDN w:val="0"/>
        <w:adjustRightInd w:val="0"/>
        <w:spacing w:after="0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– l’acupuncture pour les douleurs nociceptives correspondant à des points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douloureux profonds ou musculaires ou les douleurs </w:t>
      </w:r>
      <w:proofErr w:type="spellStart"/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neuropathiques</w:t>
      </w:r>
      <w:proofErr w:type="spellEnd"/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;</w:t>
      </w:r>
    </w:p>
    <w:p w:rsidR="00E032CC" w:rsidRDefault="00E032CC" w:rsidP="00E032CC">
      <w:pPr>
        <w:autoSpaceDE w:val="0"/>
        <w:autoSpaceDN w:val="0"/>
        <w:adjustRightInd w:val="0"/>
        <w:spacing w:after="0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– la mésothérapie qui consiste à injecter par voie intradermique ou sous-cutanée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superficielle des médicaments associés à de la procaïne ou </w:t>
      </w:r>
      <w:proofErr w:type="spellStart"/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xylocaïne</w:t>
      </w:r>
      <w:proofErr w:type="spellEnd"/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n’a fait l’objet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d’aucune publication scientifique probante.</w:t>
      </w:r>
    </w:p>
    <w:p w:rsidR="00E032CC" w:rsidRPr="00E032CC" w:rsidRDefault="00E032CC" w:rsidP="00E032CC">
      <w:pPr>
        <w:autoSpaceDE w:val="0"/>
        <w:autoSpaceDN w:val="0"/>
        <w:adjustRightInd w:val="0"/>
        <w:spacing w:after="0"/>
        <w:rPr>
          <w:rFonts w:asciiTheme="majorBidi" w:eastAsiaTheme="minorHAnsi" w:hAnsiTheme="majorBidi" w:cstheme="majorBidi"/>
          <w:sz w:val="24"/>
          <w:szCs w:val="24"/>
          <w:lang w:eastAsia="en-US"/>
        </w:rPr>
      </w:pPr>
    </w:p>
    <w:p w:rsidR="00E032CC" w:rsidRPr="00F751AD" w:rsidRDefault="00E032CC" w:rsidP="00E032CC">
      <w:pPr>
        <w:autoSpaceDE w:val="0"/>
        <w:autoSpaceDN w:val="0"/>
        <w:adjustRightInd w:val="0"/>
        <w:spacing w:after="0"/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</w:pPr>
      <w:r w:rsidRPr="00E032CC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  <w:t xml:space="preserve"> </w:t>
      </w:r>
      <w:r w:rsidRPr="00F751AD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  <w:t>Conclusion</w:t>
      </w:r>
    </w:p>
    <w:p w:rsidR="00F751AD" w:rsidRPr="00E032CC" w:rsidRDefault="00F751AD" w:rsidP="00E032CC">
      <w:pPr>
        <w:autoSpaceDE w:val="0"/>
        <w:autoSpaceDN w:val="0"/>
        <w:adjustRightInd w:val="0"/>
        <w:spacing w:after="0"/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</w:pPr>
    </w:p>
    <w:p w:rsidR="00E032CC" w:rsidRPr="00E032CC" w:rsidRDefault="00E032CC" w:rsidP="00E032CC">
      <w:pPr>
        <w:autoSpaceDE w:val="0"/>
        <w:autoSpaceDN w:val="0"/>
        <w:adjustRightInd w:val="0"/>
        <w:spacing w:after="0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Prendre en charge la douleur reste une préoccupation essentielle des soignants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ainsi qu’une priorité. Il est impératif de disposer d’échelles pour quantifier au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mieux ces douleurs même chez le patient non-communiquant. L’objectif est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de procéder au soulagement rapide dans le cadre de l’urgence et à l’évaluation de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l’efficacité des traitements en toute sécurité pour la personne âgée. Cette mesure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d’intensité, la plus pertinente possible, permet d’adapter les traitements en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tenant compte des modifications pharmacocinétiques et dynamiques liées au</w:t>
      </w:r>
    </w:p>
    <w:p w:rsidR="00D52DBF" w:rsidRPr="00E032CC" w:rsidRDefault="00E032CC" w:rsidP="00F751AD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vieillissement. Ceci passe par la compréhension des phénomènes douloureux avec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>leurs spécificités liées à l’âge. Aucun médicament n’est contre-indiqué du seul fait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E032CC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de l’âge. </w:t>
      </w:r>
    </w:p>
    <w:sectPr w:rsidR="00D52DBF" w:rsidRPr="00E032CC" w:rsidSect="000E1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3668"/>
    <w:multiLevelType w:val="hybridMultilevel"/>
    <w:tmpl w:val="9B768424"/>
    <w:lvl w:ilvl="0" w:tplc="D6307D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903B6"/>
    <w:multiLevelType w:val="hybridMultilevel"/>
    <w:tmpl w:val="1ADE3506"/>
    <w:lvl w:ilvl="0" w:tplc="B7CA63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proofState w:spelling="clean" w:grammar="clean"/>
  <w:defaultTabStop w:val="708"/>
  <w:hyphenationZone w:val="425"/>
  <w:characterSpacingControl w:val="doNotCompress"/>
  <w:savePreviewPicture/>
  <w:compat/>
  <w:rsids>
    <w:rsidRoot w:val="00D52DBF"/>
    <w:rsid w:val="00011E19"/>
    <w:rsid w:val="000508AF"/>
    <w:rsid w:val="00057FF4"/>
    <w:rsid w:val="00063523"/>
    <w:rsid w:val="00075256"/>
    <w:rsid w:val="0009450D"/>
    <w:rsid w:val="000A252F"/>
    <w:rsid w:val="000A3598"/>
    <w:rsid w:val="000A5C80"/>
    <w:rsid w:val="000B270C"/>
    <w:rsid w:val="000B534C"/>
    <w:rsid w:val="000C21ED"/>
    <w:rsid w:val="000C2286"/>
    <w:rsid w:val="000C37DF"/>
    <w:rsid w:val="000C5426"/>
    <w:rsid w:val="000E1349"/>
    <w:rsid w:val="000E24D2"/>
    <w:rsid w:val="000F3D76"/>
    <w:rsid w:val="000F4097"/>
    <w:rsid w:val="000F523E"/>
    <w:rsid w:val="001007DD"/>
    <w:rsid w:val="001074B5"/>
    <w:rsid w:val="00112545"/>
    <w:rsid w:val="00115779"/>
    <w:rsid w:val="00120400"/>
    <w:rsid w:val="001222A6"/>
    <w:rsid w:val="001426F7"/>
    <w:rsid w:val="00146B74"/>
    <w:rsid w:val="001471B3"/>
    <w:rsid w:val="00155939"/>
    <w:rsid w:val="001B10FB"/>
    <w:rsid w:val="001B2C2B"/>
    <w:rsid w:val="001E0E53"/>
    <w:rsid w:val="001F1599"/>
    <w:rsid w:val="002145D4"/>
    <w:rsid w:val="0022057D"/>
    <w:rsid w:val="00226CA6"/>
    <w:rsid w:val="00231821"/>
    <w:rsid w:val="00291F5E"/>
    <w:rsid w:val="002A002E"/>
    <w:rsid w:val="002A3CF0"/>
    <w:rsid w:val="002A438A"/>
    <w:rsid w:val="003144A8"/>
    <w:rsid w:val="00335A34"/>
    <w:rsid w:val="00344428"/>
    <w:rsid w:val="0034729C"/>
    <w:rsid w:val="00354874"/>
    <w:rsid w:val="00363C39"/>
    <w:rsid w:val="003737BC"/>
    <w:rsid w:val="003762A9"/>
    <w:rsid w:val="0038518C"/>
    <w:rsid w:val="00394D89"/>
    <w:rsid w:val="003A2BB9"/>
    <w:rsid w:val="003D172D"/>
    <w:rsid w:val="003D2690"/>
    <w:rsid w:val="003D33CB"/>
    <w:rsid w:val="003D529B"/>
    <w:rsid w:val="003E006C"/>
    <w:rsid w:val="003E36D7"/>
    <w:rsid w:val="00403FAF"/>
    <w:rsid w:val="00413823"/>
    <w:rsid w:val="004159E9"/>
    <w:rsid w:val="004173A1"/>
    <w:rsid w:val="004268DD"/>
    <w:rsid w:val="00441246"/>
    <w:rsid w:val="004A2448"/>
    <w:rsid w:val="004A756B"/>
    <w:rsid w:val="004B16D0"/>
    <w:rsid w:val="004B5D14"/>
    <w:rsid w:val="004E395C"/>
    <w:rsid w:val="004F7ACB"/>
    <w:rsid w:val="00516B79"/>
    <w:rsid w:val="00532CAA"/>
    <w:rsid w:val="005345A1"/>
    <w:rsid w:val="00543B5E"/>
    <w:rsid w:val="0055567E"/>
    <w:rsid w:val="00565989"/>
    <w:rsid w:val="00582A48"/>
    <w:rsid w:val="005959A9"/>
    <w:rsid w:val="005A11AA"/>
    <w:rsid w:val="005A32CF"/>
    <w:rsid w:val="00606AD0"/>
    <w:rsid w:val="0061548C"/>
    <w:rsid w:val="00615DBE"/>
    <w:rsid w:val="00616382"/>
    <w:rsid w:val="00620532"/>
    <w:rsid w:val="00633F65"/>
    <w:rsid w:val="00650B4D"/>
    <w:rsid w:val="00667878"/>
    <w:rsid w:val="00671257"/>
    <w:rsid w:val="00672518"/>
    <w:rsid w:val="00682D24"/>
    <w:rsid w:val="00686BB4"/>
    <w:rsid w:val="00697135"/>
    <w:rsid w:val="006A0403"/>
    <w:rsid w:val="006C7B9F"/>
    <w:rsid w:val="006C7EA5"/>
    <w:rsid w:val="006E2AA0"/>
    <w:rsid w:val="00715132"/>
    <w:rsid w:val="00721189"/>
    <w:rsid w:val="00725E4F"/>
    <w:rsid w:val="00731738"/>
    <w:rsid w:val="00731C49"/>
    <w:rsid w:val="0074445D"/>
    <w:rsid w:val="0074588F"/>
    <w:rsid w:val="0075461E"/>
    <w:rsid w:val="0075557A"/>
    <w:rsid w:val="00756C4E"/>
    <w:rsid w:val="00782C32"/>
    <w:rsid w:val="00791F01"/>
    <w:rsid w:val="007B2662"/>
    <w:rsid w:val="007C144F"/>
    <w:rsid w:val="007C16C9"/>
    <w:rsid w:val="007C21DF"/>
    <w:rsid w:val="007E33F4"/>
    <w:rsid w:val="007F6308"/>
    <w:rsid w:val="00810145"/>
    <w:rsid w:val="008164EE"/>
    <w:rsid w:val="00855FEE"/>
    <w:rsid w:val="008711F7"/>
    <w:rsid w:val="008B4905"/>
    <w:rsid w:val="008C30E6"/>
    <w:rsid w:val="008C6336"/>
    <w:rsid w:val="008D4BF0"/>
    <w:rsid w:val="008E013B"/>
    <w:rsid w:val="008F2A68"/>
    <w:rsid w:val="008F62FC"/>
    <w:rsid w:val="009012D7"/>
    <w:rsid w:val="0090546D"/>
    <w:rsid w:val="009072D0"/>
    <w:rsid w:val="00910D2E"/>
    <w:rsid w:val="00925625"/>
    <w:rsid w:val="00930D88"/>
    <w:rsid w:val="0093139E"/>
    <w:rsid w:val="0094190B"/>
    <w:rsid w:val="00970802"/>
    <w:rsid w:val="0097082A"/>
    <w:rsid w:val="00975036"/>
    <w:rsid w:val="009A3437"/>
    <w:rsid w:val="009B7251"/>
    <w:rsid w:val="009B72B6"/>
    <w:rsid w:val="009C06B1"/>
    <w:rsid w:val="009C08A1"/>
    <w:rsid w:val="009C60CE"/>
    <w:rsid w:val="009F1063"/>
    <w:rsid w:val="009F78AD"/>
    <w:rsid w:val="00A057EE"/>
    <w:rsid w:val="00A24567"/>
    <w:rsid w:val="00A527AE"/>
    <w:rsid w:val="00A56B75"/>
    <w:rsid w:val="00A72C06"/>
    <w:rsid w:val="00A9229F"/>
    <w:rsid w:val="00AB1ADA"/>
    <w:rsid w:val="00AB1E0B"/>
    <w:rsid w:val="00AB3C4B"/>
    <w:rsid w:val="00AE1EFA"/>
    <w:rsid w:val="00B007C5"/>
    <w:rsid w:val="00B01D8F"/>
    <w:rsid w:val="00B07284"/>
    <w:rsid w:val="00B23C2B"/>
    <w:rsid w:val="00B37A56"/>
    <w:rsid w:val="00B44C87"/>
    <w:rsid w:val="00B44E66"/>
    <w:rsid w:val="00B50809"/>
    <w:rsid w:val="00B7552E"/>
    <w:rsid w:val="00B8363A"/>
    <w:rsid w:val="00BB54BD"/>
    <w:rsid w:val="00BC3050"/>
    <w:rsid w:val="00C20BA0"/>
    <w:rsid w:val="00C23A68"/>
    <w:rsid w:val="00C97EA7"/>
    <w:rsid w:val="00CD4001"/>
    <w:rsid w:val="00CD729E"/>
    <w:rsid w:val="00D14B83"/>
    <w:rsid w:val="00D15FE9"/>
    <w:rsid w:val="00D16B4D"/>
    <w:rsid w:val="00D42188"/>
    <w:rsid w:val="00D520B2"/>
    <w:rsid w:val="00D52DBF"/>
    <w:rsid w:val="00D53607"/>
    <w:rsid w:val="00D63DFA"/>
    <w:rsid w:val="00D71C6C"/>
    <w:rsid w:val="00D73E80"/>
    <w:rsid w:val="00D765D2"/>
    <w:rsid w:val="00D82D58"/>
    <w:rsid w:val="00D96A15"/>
    <w:rsid w:val="00DA3DCE"/>
    <w:rsid w:val="00DA6153"/>
    <w:rsid w:val="00DB1154"/>
    <w:rsid w:val="00DC4B3A"/>
    <w:rsid w:val="00DD5CD1"/>
    <w:rsid w:val="00DE775B"/>
    <w:rsid w:val="00DF7D81"/>
    <w:rsid w:val="00E014C2"/>
    <w:rsid w:val="00E01D7D"/>
    <w:rsid w:val="00E0258C"/>
    <w:rsid w:val="00E032CC"/>
    <w:rsid w:val="00E06EA1"/>
    <w:rsid w:val="00E253B5"/>
    <w:rsid w:val="00E624FD"/>
    <w:rsid w:val="00E84BC3"/>
    <w:rsid w:val="00EB163D"/>
    <w:rsid w:val="00EB1703"/>
    <w:rsid w:val="00EE48E6"/>
    <w:rsid w:val="00F21B10"/>
    <w:rsid w:val="00F303F8"/>
    <w:rsid w:val="00F50CA1"/>
    <w:rsid w:val="00F751AD"/>
    <w:rsid w:val="00F80937"/>
    <w:rsid w:val="00F80A2B"/>
    <w:rsid w:val="00F94A31"/>
    <w:rsid w:val="00FA0EF8"/>
    <w:rsid w:val="00FA3CD2"/>
    <w:rsid w:val="00FA79CB"/>
    <w:rsid w:val="00FC10BE"/>
    <w:rsid w:val="00FE5575"/>
    <w:rsid w:val="00FE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8C"/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25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2CC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2065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2020-04-02T05:32:00Z</dcterms:created>
  <dcterms:modified xsi:type="dcterms:W3CDTF">2020-04-06T05:56:00Z</dcterms:modified>
</cp:coreProperties>
</file>