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D9" w:rsidRPr="00E25767" w:rsidRDefault="00E25767" w:rsidP="00E25767">
      <w:pPr>
        <w:jc w:val="center"/>
        <w:rPr>
          <w:b/>
          <w:bCs/>
        </w:rPr>
      </w:pPr>
      <w:r w:rsidRPr="00E25767">
        <w:rPr>
          <w:b/>
          <w:bCs/>
        </w:rPr>
        <w:t>Exercice 02 : Corrélation de Spearman</w:t>
      </w:r>
    </w:p>
    <w:p w:rsidR="00780813" w:rsidRPr="00780813" w:rsidRDefault="00780813" w:rsidP="00780813">
      <w:pPr>
        <w:pStyle w:val="Lgende"/>
        <w:keepNext/>
        <w:spacing w:after="0"/>
        <w:jc w:val="center"/>
        <w:rPr>
          <w:color w:val="000000" w:themeColor="text1"/>
          <w:sz w:val="22"/>
          <w:szCs w:val="22"/>
        </w:rPr>
      </w:pPr>
      <w:r w:rsidRPr="00780813">
        <w:rPr>
          <w:color w:val="000000" w:themeColor="text1"/>
          <w:sz w:val="22"/>
          <w:szCs w:val="22"/>
        </w:rPr>
        <w:t xml:space="preserve">Tableau </w:t>
      </w:r>
      <w:r w:rsidRPr="00780813">
        <w:rPr>
          <w:color w:val="000000" w:themeColor="text1"/>
          <w:sz w:val="22"/>
          <w:szCs w:val="22"/>
        </w:rPr>
        <w:fldChar w:fldCharType="begin"/>
      </w:r>
      <w:r w:rsidRPr="00780813">
        <w:rPr>
          <w:color w:val="000000" w:themeColor="text1"/>
          <w:sz w:val="22"/>
          <w:szCs w:val="22"/>
        </w:rPr>
        <w:instrText xml:space="preserve"> SEQ Tableau \* ARABIC </w:instrText>
      </w:r>
      <w:r w:rsidRPr="00780813">
        <w:rPr>
          <w:color w:val="000000" w:themeColor="text1"/>
          <w:sz w:val="22"/>
          <w:szCs w:val="22"/>
        </w:rPr>
        <w:fldChar w:fldCharType="separate"/>
      </w:r>
      <w:r w:rsidRPr="00780813">
        <w:rPr>
          <w:noProof/>
          <w:color w:val="000000" w:themeColor="text1"/>
          <w:sz w:val="22"/>
          <w:szCs w:val="22"/>
        </w:rPr>
        <w:t>1</w:t>
      </w:r>
      <w:r w:rsidRPr="00780813">
        <w:rPr>
          <w:color w:val="000000" w:themeColor="text1"/>
          <w:sz w:val="22"/>
          <w:szCs w:val="22"/>
        </w:rPr>
        <w:fldChar w:fldCharType="end"/>
      </w:r>
      <w:r w:rsidRPr="00780813">
        <w:rPr>
          <w:color w:val="000000" w:themeColor="text1"/>
          <w:sz w:val="22"/>
          <w:szCs w:val="22"/>
        </w:rPr>
        <w:t>/ Empreinte écologique et Indice de Développement Humain(IDH) par Pays-2012</w:t>
      </w:r>
    </w:p>
    <w:p w:rsidR="00846CA0" w:rsidRDefault="00846CA0"/>
    <w:tbl>
      <w:tblPr>
        <w:tblStyle w:val="Grilledutableau"/>
        <w:tblW w:w="0" w:type="auto"/>
        <w:jc w:val="center"/>
        <w:tblInd w:w="-491" w:type="dxa"/>
        <w:tblLook w:val="04A0"/>
      </w:tblPr>
      <w:tblGrid>
        <w:gridCol w:w="1935"/>
        <w:gridCol w:w="2415"/>
        <w:gridCol w:w="1342"/>
      </w:tblGrid>
      <w:tr w:rsidR="00846CA0" w:rsidRPr="002B3B8F" w:rsidTr="00846CA0">
        <w:trPr>
          <w:trHeight w:val="365"/>
          <w:jc w:val="center"/>
        </w:trPr>
        <w:tc>
          <w:tcPr>
            <w:tcW w:w="1935" w:type="dxa"/>
            <w:tcBorders>
              <w:left w:val="single" w:sz="4" w:space="0" w:color="auto"/>
            </w:tcBorders>
            <w:vAlign w:val="center"/>
            <w:hideMark/>
          </w:tcPr>
          <w:p w:rsidR="00846CA0" w:rsidRPr="00A96094" w:rsidRDefault="00846CA0" w:rsidP="0042259D">
            <w:pPr>
              <w:jc w:val="center"/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Pays</w:t>
            </w:r>
          </w:p>
        </w:tc>
        <w:tc>
          <w:tcPr>
            <w:tcW w:w="2415" w:type="dxa"/>
            <w:vAlign w:val="center"/>
            <w:hideMark/>
          </w:tcPr>
          <w:p w:rsidR="00846CA0" w:rsidRPr="00A96094" w:rsidRDefault="00064012" w:rsidP="00422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64012">
              <w:rPr>
                <w:b/>
                <w:bCs/>
                <w:color w:val="FF0000"/>
                <w:sz w:val="20"/>
                <w:szCs w:val="20"/>
              </w:rPr>
              <w:t>V</w:t>
            </w:r>
            <w:r w:rsidRPr="00064012">
              <w:rPr>
                <w:b/>
                <w:bCs/>
                <w:color w:val="FF0000"/>
                <w:sz w:val="20"/>
                <w:szCs w:val="20"/>
                <w:vertAlign w:val="subscript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46CA0" w:rsidRPr="00A96094">
              <w:rPr>
                <w:b/>
                <w:bCs/>
                <w:sz w:val="20"/>
                <w:szCs w:val="20"/>
              </w:rPr>
              <w:t xml:space="preserve">Empreinte   écologique </w:t>
            </w:r>
            <w:r w:rsidR="00846CA0" w:rsidRPr="00064012">
              <w:rPr>
                <w:b/>
                <w:bCs/>
                <w:i/>
                <w:iCs/>
                <w:sz w:val="16"/>
                <w:szCs w:val="16"/>
              </w:rPr>
              <w:t>(Hectare/Habitant)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A96094" w:rsidRDefault="00064012" w:rsidP="000640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64012">
              <w:rPr>
                <w:b/>
                <w:bCs/>
                <w:color w:val="FF0000"/>
                <w:sz w:val="20"/>
                <w:szCs w:val="20"/>
              </w:rPr>
              <w:t>V</w:t>
            </w:r>
            <w:r>
              <w:rPr>
                <w:b/>
                <w:bCs/>
                <w:color w:val="FF0000"/>
                <w:sz w:val="20"/>
                <w:szCs w:val="20"/>
                <w:vertAlign w:val="subscript"/>
              </w:rPr>
              <w:t xml:space="preserve">2 </w:t>
            </w:r>
            <w:r w:rsidR="00846CA0" w:rsidRPr="00A96094">
              <w:rPr>
                <w:b/>
                <w:bCs/>
                <w:sz w:val="20"/>
                <w:szCs w:val="20"/>
              </w:rPr>
              <w:t>IDH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noWrap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Émirats arabes unis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9,6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0,82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Maroc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1,6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0;text-align:left;margin-left:239.95pt;margin-top:8.3pt;width:1in;height:1in;z-index:251681792;mso-position-horizontal-relative:text;mso-position-vertical-relative:text">
                  <v:textbox style="mso-next-textbox:#_x0000_s1042">
                    <w:txbxContent>
                      <w:p w:rsidR="00846CA0" w:rsidRDefault="00846CA0" w:rsidP="00846CA0"/>
                    </w:txbxContent>
                  </v:textbox>
                </v:shape>
              </w:pict>
            </w:r>
            <w:r w:rsidRPr="00471E2A">
              <w:t>0,61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France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5,2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0,89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Pays-Bas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4,1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0,92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Bangladesh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0,7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0,51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Palestine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0,5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keepNext/>
              <w:jc w:val="center"/>
            </w:pPr>
            <w:r w:rsidRPr="00471E2A">
              <w:t>0,67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USA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9,5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0,93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Turquie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2,8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0,72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Hongrie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3,8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0,83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Zambie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0,8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0,44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Algérie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1,7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44" type="#_x0000_t202" style="position:absolute;left:0;text-align:left;margin-left:228.9pt;margin-top:-.05pt;width:74.75pt;height:46.2pt;z-index:251683840;mso-position-horizontal-relative:text;mso-position-vertical-relative:text">
                  <v:textbox style="mso-next-textbox:#_x0000_s1044">
                    <w:txbxContent>
                      <w:p w:rsidR="00846CA0" w:rsidRDefault="00846CA0" w:rsidP="00846CA0"/>
                    </w:txbxContent>
                  </v:textbox>
                </v:shape>
              </w:pict>
            </w:r>
            <w:r w:rsidRPr="00471E2A">
              <w:t>0,75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Angola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0,9</w:t>
            </w:r>
          </w:p>
        </w:tc>
        <w:tc>
          <w:tcPr>
            <w:tcW w:w="1342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0,50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Tunisie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1,5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0,71</w:t>
            </w:r>
          </w:p>
        </w:tc>
      </w:tr>
      <w:tr w:rsidR="00846CA0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846CA0" w:rsidRPr="00A96094" w:rsidRDefault="00846CA0" w:rsidP="0042259D">
            <w:pPr>
              <w:rPr>
                <w:b/>
                <w:bCs/>
                <w:sz w:val="20"/>
                <w:szCs w:val="20"/>
              </w:rPr>
            </w:pPr>
            <w:r w:rsidRPr="00A96094">
              <w:rPr>
                <w:b/>
                <w:bCs/>
                <w:sz w:val="20"/>
                <w:szCs w:val="20"/>
              </w:rPr>
              <w:t>Kenya</w:t>
            </w:r>
          </w:p>
        </w:tc>
        <w:tc>
          <w:tcPr>
            <w:tcW w:w="2415" w:type="dxa"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1,1</w:t>
            </w:r>
          </w:p>
        </w:tc>
        <w:tc>
          <w:tcPr>
            <w:tcW w:w="1342" w:type="dxa"/>
            <w:noWrap/>
            <w:vAlign w:val="center"/>
            <w:hideMark/>
          </w:tcPr>
          <w:p w:rsidR="00846CA0" w:rsidRPr="00471E2A" w:rsidRDefault="00846CA0" w:rsidP="0042259D">
            <w:pPr>
              <w:jc w:val="center"/>
            </w:pPr>
            <w:r w:rsidRPr="00471E2A">
              <w:t>0,52</w:t>
            </w:r>
          </w:p>
        </w:tc>
      </w:tr>
      <w:tr w:rsidR="003F5688" w:rsidRPr="002B3B8F" w:rsidTr="00846CA0">
        <w:trPr>
          <w:trHeight w:val="236"/>
          <w:jc w:val="center"/>
        </w:trPr>
        <w:tc>
          <w:tcPr>
            <w:tcW w:w="1935" w:type="dxa"/>
            <w:hideMark/>
          </w:tcPr>
          <w:p w:rsidR="003F5688" w:rsidRPr="00A96094" w:rsidRDefault="003F5688" w:rsidP="004225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Qatar</w:t>
            </w:r>
          </w:p>
        </w:tc>
        <w:tc>
          <w:tcPr>
            <w:tcW w:w="2415" w:type="dxa"/>
            <w:vAlign w:val="center"/>
            <w:hideMark/>
          </w:tcPr>
          <w:p w:rsidR="003F5688" w:rsidRPr="00471E2A" w:rsidRDefault="003F5688" w:rsidP="0042259D">
            <w:pPr>
              <w:jc w:val="center"/>
            </w:pPr>
            <w:r>
              <w:t>15,65</w:t>
            </w:r>
          </w:p>
        </w:tc>
        <w:tc>
          <w:tcPr>
            <w:tcW w:w="1342" w:type="dxa"/>
            <w:noWrap/>
            <w:vAlign w:val="center"/>
            <w:hideMark/>
          </w:tcPr>
          <w:p w:rsidR="003F5688" w:rsidRPr="00471E2A" w:rsidRDefault="003F5688" w:rsidP="0042259D">
            <w:pPr>
              <w:jc w:val="center"/>
            </w:pPr>
            <w:r>
              <w:t>0,86</w:t>
            </w:r>
          </w:p>
        </w:tc>
      </w:tr>
    </w:tbl>
    <w:p w:rsidR="00846CA0" w:rsidRDefault="00846CA0"/>
    <w:p w:rsidR="009D151B" w:rsidRDefault="00075317" w:rsidP="00075317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502285</wp:posOffset>
            </wp:positionV>
            <wp:extent cx="1678940" cy="551180"/>
            <wp:effectExtent l="19050" t="0" r="0" b="0"/>
            <wp:wrapTight wrapText="bothSides">
              <wp:wrapPolygon edited="0">
                <wp:start x="13725" y="747"/>
                <wp:lineTo x="2696" y="5972"/>
                <wp:lineTo x="-245" y="8212"/>
                <wp:lineTo x="-245" y="13438"/>
                <wp:lineTo x="11519" y="20157"/>
                <wp:lineTo x="12254" y="20157"/>
                <wp:lineTo x="21077" y="20157"/>
                <wp:lineTo x="21567" y="17171"/>
                <wp:lineTo x="21567" y="14931"/>
                <wp:lineTo x="21322" y="12691"/>
                <wp:lineTo x="21567" y="10452"/>
                <wp:lineTo x="21322" y="8212"/>
                <wp:lineTo x="19607" y="747"/>
                <wp:lineTo x="13725" y="747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151B" w:rsidRPr="00075317">
        <w:rPr>
          <w:sz w:val="24"/>
          <w:szCs w:val="24"/>
        </w:rPr>
        <w:t xml:space="preserve">A partir du tableau 1 et sur le tableur Excel, calculer le coefficient de corrélation de Spearman (Rangs de Spearman </w:t>
      </w:r>
      <w:proofErr w:type="spellStart"/>
      <w:r w:rsidR="009D151B" w:rsidRPr="00075317">
        <w:rPr>
          <w:b/>
          <w:bCs/>
          <w:i/>
          <w:iCs/>
          <w:sz w:val="24"/>
          <w:szCs w:val="24"/>
        </w:rPr>
        <w:t>rs</w:t>
      </w:r>
      <w:proofErr w:type="spellEnd"/>
      <w:r w:rsidR="009D151B" w:rsidRPr="00075317">
        <w:rPr>
          <w:b/>
          <w:bCs/>
          <w:i/>
          <w:iCs/>
          <w:sz w:val="24"/>
          <w:szCs w:val="24"/>
        </w:rPr>
        <w:t xml:space="preserve"> </w:t>
      </w:r>
      <w:r w:rsidR="009D151B" w:rsidRPr="00075317">
        <w:rPr>
          <w:sz w:val="24"/>
          <w:szCs w:val="24"/>
        </w:rPr>
        <w:t xml:space="preserve">ou </w:t>
      </w:r>
      <w:r w:rsidRPr="00075317">
        <w:rPr>
          <w:rFonts w:ascii="Times New Roman" w:hAnsi="Times New Roman" w:cs="Times New Roman"/>
          <w:b/>
          <w:bCs/>
          <w:sz w:val="24"/>
          <w:szCs w:val="24"/>
        </w:rPr>
        <w:t>ρ</w:t>
      </w:r>
      <w:r w:rsidR="00DD0F4C">
        <w:rPr>
          <w:sz w:val="24"/>
          <w:szCs w:val="24"/>
        </w:rPr>
        <w:t>)</w:t>
      </w:r>
      <w:r w:rsidR="009D151B" w:rsidRPr="00075317">
        <w:rPr>
          <w:sz w:val="24"/>
          <w:szCs w:val="24"/>
        </w:rPr>
        <w:t>.</w:t>
      </w:r>
    </w:p>
    <w:p w:rsidR="00075317" w:rsidRDefault="00075317" w:rsidP="00075317">
      <w:pPr>
        <w:jc w:val="both"/>
        <w:rPr>
          <w:b/>
          <w:bCs/>
          <w:i/>
          <w:iCs/>
          <w:sz w:val="24"/>
          <w:szCs w:val="24"/>
        </w:rPr>
      </w:pPr>
    </w:p>
    <w:p w:rsidR="00075317" w:rsidRDefault="00075317" w:rsidP="00075317">
      <w:pPr>
        <w:jc w:val="both"/>
        <w:rPr>
          <w:b/>
          <w:bCs/>
          <w:i/>
          <w:iCs/>
          <w:sz w:val="24"/>
          <w:szCs w:val="24"/>
        </w:rPr>
      </w:pPr>
    </w:p>
    <w:p w:rsidR="00075317" w:rsidRPr="00064012" w:rsidRDefault="00E4793F" w:rsidP="00075317">
      <w:pPr>
        <w:jc w:val="both"/>
        <w:rPr>
          <w:i/>
          <w:iCs/>
          <w:sz w:val="24"/>
          <w:szCs w:val="24"/>
        </w:rPr>
      </w:pPr>
      <w:proofErr w:type="spellStart"/>
      <w:proofErr w:type="gramStart"/>
      <w:r w:rsidRPr="00E4793F">
        <w:rPr>
          <w:b/>
          <w:bCs/>
          <w:i/>
          <w:iCs/>
          <w:sz w:val="24"/>
          <w:szCs w:val="24"/>
        </w:rPr>
        <w:t>rs</w:t>
      </w:r>
      <w:proofErr w:type="spellEnd"/>
      <w:proofErr w:type="gramEnd"/>
      <w:r w:rsidRPr="00064012">
        <w:rPr>
          <w:i/>
          <w:iCs/>
          <w:sz w:val="24"/>
          <w:szCs w:val="24"/>
        </w:rPr>
        <w:t> </w:t>
      </w:r>
      <w:r w:rsidR="00075317" w:rsidRPr="00064012">
        <w:rPr>
          <w:i/>
          <w:iCs/>
          <w:sz w:val="24"/>
          <w:szCs w:val="24"/>
        </w:rPr>
        <w:t>: Coefficient de corrélation de Spearman</w:t>
      </w:r>
    </w:p>
    <w:p w:rsidR="00075317" w:rsidRDefault="00F854E5" w:rsidP="00F854E5">
      <w:pPr>
        <w:jc w:val="both"/>
        <w:rPr>
          <w:i/>
          <w:iCs/>
          <w:sz w:val="24"/>
          <w:szCs w:val="24"/>
          <w:vertAlign w:val="subscript"/>
        </w:rPr>
      </w:pPr>
      <w:r w:rsidRPr="00E4793F">
        <w:rPr>
          <w:b/>
          <w:bCs/>
          <w:i/>
          <w:iCs/>
          <w:sz w:val="24"/>
          <w:szCs w:val="24"/>
        </w:rPr>
        <w:t>D</w:t>
      </w:r>
      <w:r w:rsidRPr="00064012">
        <w:rPr>
          <w:i/>
          <w:iCs/>
          <w:sz w:val="24"/>
          <w:szCs w:val="24"/>
        </w:rPr>
        <w:t>=R</w:t>
      </w:r>
      <w:r w:rsidRPr="00064012">
        <w:rPr>
          <w:i/>
          <w:iCs/>
          <w:sz w:val="24"/>
          <w:szCs w:val="24"/>
          <w:vertAlign w:val="subscript"/>
        </w:rPr>
        <w:t>1</w:t>
      </w:r>
      <w:r w:rsidRPr="00064012">
        <w:rPr>
          <w:i/>
          <w:iCs/>
          <w:sz w:val="24"/>
          <w:szCs w:val="24"/>
        </w:rPr>
        <w:t>-</w:t>
      </w:r>
      <w:r w:rsidR="00064012" w:rsidRPr="00064012">
        <w:rPr>
          <w:i/>
          <w:iCs/>
          <w:sz w:val="24"/>
          <w:szCs w:val="24"/>
        </w:rPr>
        <w:t>R</w:t>
      </w:r>
      <w:r w:rsidR="00064012" w:rsidRPr="00064012">
        <w:rPr>
          <w:i/>
          <w:iCs/>
          <w:sz w:val="24"/>
          <w:szCs w:val="24"/>
          <w:vertAlign w:val="subscript"/>
        </w:rPr>
        <w:t>2</w:t>
      </w:r>
    </w:p>
    <w:p w:rsidR="009D151B" w:rsidRDefault="00064012" w:rsidP="00064012">
      <w:pPr>
        <w:spacing w:after="0"/>
        <w:ind w:left="708"/>
        <w:rPr>
          <w:i/>
          <w:iCs/>
          <w:sz w:val="24"/>
          <w:szCs w:val="24"/>
          <w:vertAlign w:val="subscript"/>
        </w:rPr>
      </w:pPr>
      <w:r w:rsidRPr="00064012">
        <w:rPr>
          <w:i/>
          <w:iCs/>
          <w:sz w:val="24"/>
          <w:szCs w:val="24"/>
        </w:rPr>
        <w:t>R</w:t>
      </w:r>
      <w:r w:rsidRPr="00064012">
        <w:rPr>
          <w:i/>
          <w:iCs/>
          <w:sz w:val="24"/>
          <w:szCs w:val="24"/>
          <w:vertAlign w:val="subscript"/>
        </w:rPr>
        <w:t>1</w:t>
      </w:r>
      <w:r>
        <w:rPr>
          <w:i/>
          <w:iCs/>
          <w:sz w:val="24"/>
          <w:szCs w:val="24"/>
          <w:vertAlign w:val="subscript"/>
        </w:rPr>
        <w:t xml:space="preserve"> : </w:t>
      </w:r>
      <w:r w:rsidRPr="00064012">
        <w:rPr>
          <w:i/>
          <w:iCs/>
          <w:sz w:val="24"/>
          <w:szCs w:val="24"/>
        </w:rPr>
        <w:t xml:space="preserve">rang de la variable </w:t>
      </w:r>
      <w:r w:rsidRPr="00064012">
        <w:rPr>
          <w:b/>
          <w:bCs/>
          <w:color w:val="FF0000"/>
          <w:sz w:val="20"/>
          <w:szCs w:val="20"/>
        </w:rPr>
        <w:t>V</w:t>
      </w:r>
      <w:r w:rsidRPr="00064012">
        <w:rPr>
          <w:b/>
          <w:bCs/>
          <w:color w:val="FF0000"/>
          <w:sz w:val="20"/>
          <w:szCs w:val="20"/>
          <w:vertAlign w:val="subscript"/>
        </w:rPr>
        <w:t>1</w:t>
      </w:r>
    </w:p>
    <w:p w:rsidR="00064012" w:rsidRDefault="00064012" w:rsidP="00064012">
      <w:pPr>
        <w:spacing w:after="0"/>
        <w:ind w:left="708"/>
        <w:rPr>
          <w:b/>
          <w:bCs/>
          <w:color w:val="FF0000"/>
          <w:sz w:val="20"/>
          <w:szCs w:val="20"/>
          <w:vertAlign w:val="subscript"/>
        </w:rPr>
      </w:pPr>
      <w:r w:rsidRPr="00064012">
        <w:rPr>
          <w:i/>
          <w:iCs/>
          <w:sz w:val="24"/>
          <w:szCs w:val="24"/>
        </w:rPr>
        <w:t>R</w:t>
      </w:r>
      <w:r>
        <w:rPr>
          <w:i/>
          <w:iCs/>
          <w:sz w:val="24"/>
          <w:szCs w:val="24"/>
          <w:vertAlign w:val="subscript"/>
        </w:rPr>
        <w:t>2 </w:t>
      </w:r>
      <w:r w:rsidRPr="00064012">
        <w:rPr>
          <w:i/>
          <w:iCs/>
          <w:sz w:val="24"/>
          <w:szCs w:val="24"/>
        </w:rPr>
        <w:t xml:space="preserve">: rang de la variable </w:t>
      </w:r>
      <w:r w:rsidRPr="00064012">
        <w:rPr>
          <w:b/>
          <w:bCs/>
          <w:color w:val="FF0000"/>
          <w:sz w:val="20"/>
          <w:szCs w:val="20"/>
        </w:rPr>
        <w:t>V</w:t>
      </w:r>
      <w:r w:rsidRPr="00064012">
        <w:rPr>
          <w:b/>
          <w:bCs/>
          <w:color w:val="FF0000"/>
          <w:sz w:val="20"/>
          <w:szCs w:val="20"/>
          <w:vertAlign w:val="subscript"/>
        </w:rPr>
        <w:t>2</w:t>
      </w:r>
    </w:p>
    <w:p w:rsidR="00E4793F" w:rsidRDefault="00E4793F" w:rsidP="00064012">
      <w:pPr>
        <w:spacing w:after="0"/>
        <w:ind w:left="708"/>
        <w:rPr>
          <w:b/>
          <w:bCs/>
          <w:color w:val="FF0000"/>
          <w:sz w:val="20"/>
          <w:szCs w:val="20"/>
          <w:vertAlign w:val="subscript"/>
        </w:rPr>
      </w:pPr>
    </w:p>
    <w:p w:rsidR="00E4793F" w:rsidRPr="00E4793F" w:rsidRDefault="00E4793F" w:rsidP="00E4793F">
      <w:pPr>
        <w:spacing w:after="0"/>
        <w:rPr>
          <w:b/>
          <w:bCs/>
          <w:i/>
          <w:iCs/>
          <w:sz w:val="24"/>
          <w:szCs w:val="24"/>
        </w:rPr>
      </w:pPr>
      <w:r w:rsidRPr="00E4793F">
        <w:rPr>
          <w:b/>
          <w:bCs/>
          <w:i/>
          <w:iCs/>
          <w:sz w:val="24"/>
          <w:szCs w:val="24"/>
        </w:rPr>
        <w:t>N</w:t>
      </w:r>
      <w:r>
        <w:rPr>
          <w:b/>
          <w:bCs/>
          <w:i/>
          <w:iCs/>
          <w:sz w:val="24"/>
          <w:szCs w:val="24"/>
        </w:rPr>
        <w:t xml:space="preserve"> : </w:t>
      </w:r>
      <w:r w:rsidRPr="00E4793F">
        <w:rPr>
          <w:i/>
          <w:iCs/>
          <w:sz w:val="24"/>
          <w:szCs w:val="24"/>
        </w:rPr>
        <w:t>taille de l’échantillon</w:t>
      </w:r>
    </w:p>
    <w:sectPr w:rsidR="00E4793F" w:rsidRPr="00E4793F" w:rsidSect="000D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savePreviewPicture/>
  <w:compat/>
  <w:rsids>
    <w:rsidRoot w:val="00846CA0"/>
    <w:rsid w:val="00046438"/>
    <w:rsid w:val="00064012"/>
    <w:rsid w:val="00075317"/>
    <w:rsid w:val="000B3D6F"/>
    <w:rsid w:val="000D20D9"/>
    <w:rsid w:val="00113B21"/>
    <w:rsid w:val="00232E69"/>
    <w:rsid w:val="002D5B2E"/>
    <w:rsid w:val="003A7DE1"/>
    <w:rsid w:val="003C38D7"/>
    <w:rsid w:val="003F5688"/>
    <w:rsid w:val="00456ECF"/>
    <w:rsid w:val="005C4DEC"/>
    <w:rsid w:val="0063465D"/>
    <w:rsid w:val="00780813"/>
    <w:rsid w:val="00846CA0"/>
    <w:rsid w:val="008C0A6D"/>
    <w:rsid w:val="00962551"/>
    <w:rsid w:val="009D151B"/>
    <w:rsid w:val="00C13A29"/>
    <w:rsid w:val="00D133F9"/>
    <w:rsid w:val="00DD0F4C"/>
    <w:rsid w:val="00E25767"/>
    <w:rsid w:val="00E4793F"/>
    <w:rsid w:val="00F8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C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Mmoire">
    <w:name w:val="Titre 1 Mémoire"/>
    <w:basedOn w:val="Normal"/>
    <w:link w:val="Titre1MmoireCar"/>
    <w:qFormat/>
    <w:rsid w:val="000B3D6F"/>
    <w:pPr>
      <w:spacing w:after="120" w:line="360" w:lineRule="auto"/>
      <w:jc w:val="both"/>
    </w:pPr>
    <w:rPr>
      <w:rFonts w:asciiTheme="majorBidi" w:hAnsiTheme="majorBidi" w:cstheme="majorBidi"/>
      <w:b/>
      <w:bCs/>
      <w:sz w:val="32"/>
      <w:szCs w:val="24"/>
    </w:rPr>
  </w:style>
  <w:style w:type="character" w:customStyle="1" w:styleId="Titre1MmoireCar">
    <w:name w:val="Titre 1 Mémoire Car"/>
    <w:basedOn w:val="Policepardfaut"/>
    <w:link w:val="Titre1Mmoire"/>
    <w:rsid w:val="000B3D6F"/>
    <w:rPr>
      <w:rFonts w:asciiTheme="majorBidi" w:hAnsiTheme="majorBidi" w:cstheme="majorBidi"/>
      <w:b/>
      <w:bCs/>
      <w:sz w:val="32"/>
      <w:szCs w:val="24"/>
    </w:rPr>
  </w:style>
  <w:style w:type="table" w:styleId="Grilledutableau">
    <w:name w:val="Table Grid"/>
    <w:basedOn w:val="TableauNormal"/>
    <w:uiPriority w:val="59"/>
    <w:rsid w:val="00846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78081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mellakh</dc:creator>
  <cp:lastModifiedBy>amina mellakh</cp:lastModifiedBy>
  <cp:revision>1</cp:revision>
  <dcterms:created xsi:type="dcterms:W3CDTF">2018-12-01T17:17:00Z</dcterms:created>
  <dcterms:modified xsi:type="dcterms:W3CDTF">2018-12-01T18:07:00Z</dcterms:modified>
</cp:coreProperties>
</file>