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408A" w14:textId="74466EB8" w:rsidR="00906940" w:rsidRPr="00F02E68" w:rsidRDefault="00493A17" w:rsidP="007F17A8">
      <w:pPr>
        <w:spacing w:before="187" w:after="94" w:line="240" w:lineRule="auto"/>
        <w:jc w:val="both"/>
        <w:outlineLvl w:val="1"/>
        <w:rPr>
          <w:rFonts w:asciiTheme="majorBidi" w:eastAsia="Times New Roman" w:hAnsiTheme="majorBidi" w:cstheme="majorBidi"/>
          <w:color w:val="2F5496" w:themeColor="accent1" w:themeShade="BF"/>
          <w:sz w:val="29"/>
          <w:szCs w:val="29"/>
          <w:lang w:eastAsia="fr-FR"/>
        </w:rPr>
      </w:pPr>
      <w:r>
        <w:rPr>
          <w:rFonts w:asciiTheme="majorBidi" w:eastAsia="Times New Roman" w:hAnsiTheme="majorBidi" w:cstheme="majorBidi"/>
          <w:color w:val="2F5496" w:themeColor="accent1" w:themeShade="BF"/>
          <w:sz w:val="29"/>
          <w:szCs w:val="29"/>
          <w:lang w:eastAsia="fr-FR"/>
        </w:rPr>
        <w:t>1</w:t>
      </w:r>
      <w:r w:rsidR="00906940" w:rsidRPr="00F02E68">
        <w:rPr>
          <w:rFonts w:asciiTheme="majorBidi" w:eastAsia="Times New Roman" w:hAnsiTheme="majorBidi" w:cstheme="majorBidi"/>
          <w:color w:val="2F5496" w:themeColor="accent1" w:themeShade="BF"/>
          <w:sz w:val="29"/>
          <w:szCs w:val="29"/>
          <w:lang w:eastAsia="fr-FR"/>
        </w:rPr>
        <w:t>. Les récepteurs</w:t>
      </w:r>
    </w:p>
    <w:p w14:paraId="1383D71C"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On distingue donc les récepteurs membranaires des récepteurs nucléaires. Ils ont pour points communs :</w:t>
      </w:r>
    </w:p>
    <w:p w14:paraId="43E01301" w14:textId="77777777" w:rsidR="00906940" w:rsidRPr="00F02E68" w:rsidRDefault="00906940" w:rsidP="007F17A8">
      <w:pPr>
        <w:numPr>
          <w:ilvl w:val="0"/>
          <w:numId w:val="1"/>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une haute affinité pour la molécule informative,</w:t>
      </w:r>
    </w:p>
    <w:p w14:paraId="0645F24C" w14:textId="77777777" w:rsidR="00906940" w:rsidRPr="00F02E68" w:rsidRDefault="00906940" w:rsidP="007F17A8">
      <w:pPr>
        <w:numPr>
          <w:ilvl w:val="0"/>
          <w:numId w:val="1"/>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une stéréospécificité pour cette molécule,</w:t>
      </w:r>
    </w:p>
    <w:p w14:paraId="446CF46C" w14:textId="77777777" w:rsidR="00906940" w:rsidRPr="00F02E68" w:rsidRDefault="00906940" w:rsidP="007F17A8">
      <w:pPr>
        <w:numPr>
          <w:ilvl w:val="0"/>
          <w:numId w:val="1"/>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la liaison récepteur-molécule informative est réversible,</w:t>
      </w:r>
    </w:p>
    <w:p w14:paraId="22E9B086" w14:textId="77777777" w:rsidR="00906940" w:rsidRPr="00F02E68" w:rsidRDefault="00906940" w:rsidP="007F17A8">
      <w:pPr>
        <w:numPr>
          <w:ilvl w:val="0"/>
          <w:numId w:val="1"/>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il y a modification de la configuration spatiale du récepteur lors de la fixation de la molécule, ce qui induira la transduction du message.</w:t>
      </w:r>
    </w:p>
    <w:p w14:paraId="7A25BD9F" w14:textId="5BB2FC96" w:rsidR="00906940" w:rsidRPr="00F02E68" w:rsidRDefault="00493A17" w:rsidP="007F17A8">
      <w:pPr>
        <w:spacing w:before="360" w:after="192" w:line="240" w:lineRule="auto"/>
        <w:jc w:val="both"/>
        <w:outlineLvl w:val="2"/>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1</w:t>
      </w:r>
      <w:r w:rsidR="00906940" w:rsidRPr="00F02E68">
        <w:rPr>
          <w:rFonts w:asciiTheme="majorBidi" w:eastAsia="Times New Roman" w:hAnsiTheme="majorBidi" w:cstheme="majorBidi"/>
          <w:b/>
          <w:bCs/>
          <w:color w:val="000000"/>
          <w:sz w:val="24"/>
          <w:szCs w:val="24"/>
          <w:lang w:eastAsia="fr-FR"/>
        </w:rPr>
        <w:t>.1. Les récepteurs membranaires</w:t>
      </w:r>
    </w:p>
    <w:p w14:paraId="14E87EC4"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Ils peuvent produire trois types de réponse cellulaire :</w:t>
      </w:r>
    </w:p>
    <w:p w14:paraId="3653DE60" w14:textId="77777777" w:rsidR="00906940" w:rsidRPr="00F02E68" w:rsidRDefault="00906940" w:rsidP="007F17A8">
      <w:pPr>
        <w:numPr>
          <w:ilvl w:val="0"/>
          <w:numId w:val="2"/>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une réponse </w:t>
      </w:r>
      <w:r w:rsidRPr="00F02E68">
        <w:rPr>
          <w:rFonts w:asciiTheme="majorBidi" w:eastAsia="Times New Roman" w:hAnsiTheme="majorBidi" w:cstheme="majorBidi"/>
          <w:b/>
          <w:bCs/>
          <w:color w:val="000000"/>
          <w:sz w:val="24"/>
          <w:szCs w:val="24"/>
          <w:lang w:eastAsia="fr-FR"/>
        </w:rPr>
        <w:t>électrophysiologique</w:t>
      </w:r>
      <w:r w:rsidRPr="00F02E68">
        <w:rPr>
          <w:rFonts w:asciiTheme="majorBidi" w:eastAsia="Times New Roman" w:hAnsiTheme="majorBidi" w:cstheme="majorBidi"/>
          <w:color w:val="000000"/>
          <w:sz w:val="24"/>
          <w:szCs w:val="24"/>
          <w:lang w:eastAsia="fr-FR"/>
        </w:rPr>
        <w:t>, elle correspond aux récepteurs canaux-ioniques et permet une réponse très rapide : moins d'une seconde;</w:t>
      </w:r>
    </w:p>
    <w:p w14:paraId="4A86D30E" w14:textId="77777777" w:rsidR="00906940" w:rsidRPr="00F02E68" w:rsidRDefault="00906940" w:rsidP="007F17A8">
      <w:pPr>
        <w:numPr>
          <w:ilvl w:val="0"/>
          <w:numId w:val="2"/>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une réponse </w:t>
      </w:r>
      <w:r w:rsidRPr="00F02E68">
        <w:rPr>
          <w:rFonts w:asciiTheme="majorBidi" w:eastAsia="Times New Roman" w:hAnsiTheme="majorBidi" w:cstheme="majorBidi"/>
          <w:b/>
          <w:bCs/>
          <w:color w:val="000000"/>
          <w:sz w:val="24"/>
          <w:szCs w:val="24"/>
          <w:lang w:eastAsia="fr-FR"/>
        </w:rPr>
        <w:t>métabolique</w:t>
      </w:r>
      <w:r w:rsidRPr="00F02E68">
        <w:rPr>
          <w:rFonts w:asciiTheme="majorBidi" w:eastAsia="Times New Roman" w:hAnsiTheme="majorBidi" w:cstheme="majorBidi"/>
          <w:color w:val="000000"/>
          <w:sz w:val="24"/>
          <w:szCs w:val="24"/>
          <w:lang w:eastAsia="fr-FR"/>
        </w:rPr>
        <w:t> responsable de modifications post-traductionnelles des protéines, donc réponse enzymatique rapide de l'ordre de la minute;</w:t>
      </w:r>
    </w:p>
    <w:p w14:paraId="315B932F" w14:textId="77777777" w:rsidR="00906940" w:rsidRPr="00F02E68" w:rsidRDefault="00906940" w:rsidP="007F17A8">
      <w:pPr>
        <w:numPr>
          <w:ilvl w:val="0"/>
          <w:numId w:val="2"/>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une réponse </w:t>
      </w:r>
      <w:r w:rsidRPr="00F02E68">
        <w:rPr>
          <w:rFonts w:asciiTheme="majorBidi" w:eastAsia="Times New Roman" w:hAnsiTheme="majorBidi" w:cstheme="majorBidi"/>
          <w:b/>
          <w:bCs/>
          <w:color w:val="000000"/>
          <w:sz w:val="24"/>
          <w:szCs w:val="24"/>
          <w:lang w:eastAsia="fr-FR"/>
        </w:rPr>
        <w:t>transcriptionnelle</w:t>
      </w:r>
      <w:r w:rsidRPr="00F02E68">
        <w:rPr>
          <w:rFonts w:asciiTheme="majorBidi" w:eastAsia="Times New Roman" w:hAnsiTheme="majorBidi" w:cstheme="majorBidi"/>
          <w:color w:val="000000"/>
          <w:sz w:val="24"/>
          <w:szCs w:val="24"/>
          <w:lang w:eastAsia="fr-FR"/>
        </w:rPr>
        <w:t> activant ou inhibant l'expression de certains gènes, réponse donc plus lente se comptant en heures.</w:t>
      </w:r>
    </w:p>
    <w:p w14:paraId="212A3669"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Généralement ces types de réponses se traduisent par la production d'un second messager ou de cascade de phosphorylation. Les récepteurs membranaires sont des glycoprotéines transmembranaires donc à 3 régions :</w:t>
      </w:r>
    </w:p>
    <w:p w14:paraId="6B7626CB" w14:textId="77777777" w:rsidR="00906940" w:rsidRPr="00F02E68" w:rsidRDefault="00906940" w:rsidP="007F17A8">
      <w:pPr>
        <w:numPr>
          <w:ilvl w:val="0"/>
          <w:numId w:val="3"/>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une </w:t>
      </w:r>
      <w:r w:rsidRPr="00F02E68">
        <w:rPr>
          <w:rFonts w:asciiTheme="majorBidi" w:eastAsia="Times New Roman" w:hAnsiTheme="majorBidi" w:cstheme="majorBidi"/>
          <w:b/>
          <w:bCs/>
          <w:color w:val="000000"/>
          <w:sz w:val="24"/>
          <w:szCs w:val="24"/>
          <w:lang w:eastAsia="fr-FR"/>
        </w:rPr>
        <w:t>extracelluliare glycosylée</w:t>
      </w:r>
      <w:r w:rsidRPr="00F02E68">
        <w:rPr>
          <w:rFonts w:asciiTheme="majorBidi" w:eastAsia="Times New Roman" w:hAnsiTheme="majorBidi" w:cstheme="majorBidi"/>
          <w:color w:val="000000"/>
          <w:sz w:val="24"/>
          <w:szCs w:val="24"/>
          <w:lang w:eastAsia="fr-FR"/>
        </w:rPr>
        <w:t> reconnaissant et fixant la molécule,</w:t>
      </w:r>
    </w:p>
    <w:p w14:paraId="2EBB32FB" w14:textId="77777777" w:rsidR="00906940" w:rsidRPr="00F02E68" w:rsidRDefault="00906940" w:rsidP="007F17A8">
      <w:pPr>
        <w:numPr>
          <w:ilvl w:val="0"/>
          <w:numId w:val="3"/>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une </w:t>
      </w:r>
      <w:r w:rsidRPr="00F02E68">
        <w:rPr>
          <w:rFonts w:asciiTheme="majorBidi" w:eastAsia="Times New Roman" w:hAnsiTheme="majorBidi" w:cstheme="majorBidi"/>
          <w:b/>
          <w:bCs/>
          <w:color w:val="000000"/>
          <w:sz w:val="24"/>
          <w:szCs w:val="24"/>
          <w:lang w:eastAsia="fr-FR"/>
        </w:rPr>
        <w:t>transmembranaire (hydrophobe)</w:t>
      </w:r>
      <w:r w:rsidRPr="00F02E68">
        <w:rPr>
          <w:rFonts w:asciiTheme="majorBidi" w:eastAsia="Times New Roman" w:hAnsiTheme="majorBidi" w:cstheme="majorBidi"/>
          <w:color w:val="000000"/>
          <w:sz w:val="24"/>
          <w:szCs w:val="24"/>
          <w:lang w:eastAsia="fr-FR"/>
        </w:rPr>
        <w:t> ancrée dans la membrane,</w:t>
      </w:r>
    </w:p>
    <w:p w14:paraId="5E9F9D20" w14:textId="77777777" w:rsidR="00906940" w:rsidRPr="00F02E68" w:rsidRDefault="00906940" w:rsidP="007F17A8">
      <w:pPr>
        <w:numPr>
          <w:ilvl w:val="0"/>
          <w:numId w:val="3"/>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une </w:t>
      </w:r>
      <w:r w:rsidRPr="00F02E68">
        <w:rPr>
          <w:rFonts w:asciiTheme="majorBidi" w:eastAsia="Times New Roman" w:hAnsiTheme="majorBidi" w:cstheme="majorBidi"/>
          <w:b/>
          <w:bCs/>
          <w:color w:val="000000"/>
          <w:sz w:val="24"/>
          <w:szCs w:val="24"/>
          <w:lang w:eastAsia="fr-FR"/>
        </w:rPr>
        <w:t>intracellulaire</w:t>
      </w:r>
      <w:r w:rsidRPr="00F02E68">
        <w:rPr>
          <w:rFonts w:asciiTheme="majorBidi" w:eastAsia="Times New Roman" w:hAnsiTheme="majorBidi" w:cstheme="majorBidi"/>
          <w:color w:val="000000"/>
          <w:sz w:val="24"/>
          <w:szCs w:val="24"/>
          <w:lang w:eastAsia="fr-FR"/>
        </w:rPr>
        <w:t> responsables des événements biochimiques.</w:t>
      </w:r>
    </w:p>
    <w:p w14:paraId="2C5BBB94" w14:textId="553889BF" w:rsidR="00906940" w:rsidRPr="00F02E68" w:rsidRDefault="00823D61"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 xml:space="preserve">Il existe </w:t>
      </w:r>
      <w:r w:rsidR="00906940" w:rsidRPr="00F02E68">
        <w:rPr>
          <w:rFonts w:asciiTheme="majorBidi" w:eastAsia="Times New Roman" w:hAnsiTheme="majorBidi" w:cstheme="majorBidi"/>
          <w:i/>
          <w:iCs/>
          <w:color w:val="000000"/>
          <w:sz w:val="24"/>
          <w:szCs w:val="24"/>
          <w:lang w:eastAsia="fr-FR"/>
        </w:rPr>
        <w:t>trois grands types de récepteurs</w:t>
      </w:r>
      <w:r w:rsidR="00906940" w:rsidRPr="00F02E68">
        <w:rPr>
          <w:rFonts w:asciiTheme="majorBidi" w:eastAsia="Times New Roman" w:hAnsiTheme="majorBidi" w:cstheme="majorBidi"/>
          <w:color w:val="000000"/>
          <w:sz w:val="24"/>
          <w:szCs w:val="24"/>
          <w:lang w:eastAsia="fr-FR"/>
        </w:rPr>
        <w:t> :</w:t>
      </w:r>
    </w:p>
    <w:p w14:paraId="5637E645" w14:textId="77777777" w:rsidR="00906940" w:rsidRPr="00F02E68" w:rsidRDefault="00906940" w:rsidP="007F17A8">
      <w:pPr>
        <w:numPr>
          <w:ilvl w:val="0"/>
          <w:numId w:val="4"/>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b/>
          <w:bCs/>
          <w:color w:val="000000"/>
          <w:sz w:val="24"/>
          <w:szCs w:val="24"/>
          <w:lang w:eastAsia="fr-FR"/>
        </w:rPr>
        <w:t>récepteurs canaux-ioniques</w:t>
      </w:r>
      <w:r w:rsidRPr="00F02E68">
        <w:rPr>
          <w:rFonts w:asciiTheme="majorBidi" w:eastAsia="Times New Roman" w:hAnsiTheme="majorBidi" w:cstheme="majorBidi"/>
          <w:color w:val="000000"/>
          <w:sz w:val="24"/>
          <w:szCs w:val="24"/>
          <w:lang w:eastAsia="fr-FR"/>
        </w:rPr>
        <w:t>, tansduisant eux-mêmes le signal ;</w:t>
      </w:r>
    </w:p>
    <w:p w14:paraId="3989C62D" w14:textId="77777777" w:rsidR="00906940" w:rsidRPr="00F02E68" w:rsidRDefault="00906940" w:rsidP="007F17A8">
      <w:pPr>
        <w:numPr>
          <w:ilvl w:val="0"/>
          <w:numId w:val="4"/>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b/>
          <w:bCs/>
          <w:color w:val="000000"/>
          <w:sz w:val="24"/>
          <w:szCs w:val="24"/>
          <w:lang w:eastAsia="fr-FR"/>
        </w:rPr>
        <w:t>récepteurs enzymes</w:t>
      </w:r>
      <w:r w:rsidRPr="00F02E68">
        <w:rPr>
          <w:rFonts w:asciiTheme="majorBidi" w:eastAsia="Times New Roman" w:hAnsiTheme="majorBidi" w:cstheme="majorBidi"/>
          <w:color w:val="000000"/>
          <w:sz w:val="24"/>
          <w:szCs w:val="24"/>
          <w:lang w:eastAsia="fr-FR"/>
        </w:rPr>
        <w:t>, transduisant eux-mêmes le signal ;</w:t>
      </w:r>
    </w:p>
    <w:p w14:paraId="75846F68" w14:textId="77777777" w:rsidR="00906940" w:rsidRPr="00F02E68" w:rsidRDefault="00906940" w:rsidP="007F17A8">
      <w:pPr>
        <w:numPr>
          <w:ilvl w:val="0"/>
          <w:numId w:val="4"/>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b/>
          <w:bCs/>
          <w:color w:val="000000"/>
          <w:sz w:val="24"/>
          <w:szCs w:val="24"/>
          <w:lang w:eastAsia="fr-FR"/>
        </w:rPr>
        <w:t>récepteurs couplés</w:t>
      </w:r>
      <w:r w:rsidRPr="00F02E68">
        <w:rPr>
          <w:rFonts w:asciiTheme="majorBidi" w:eastAsia="Times New Roman" w:hAnsiTheme="majorBidi" w:cstheme="majorBidi"/>
          <w:color w:val="000000"/>
          <w:sz w:val="24"/>
          <w:szCs w:val="24"/>
          <w:lang w:eastAsia="fr-FR"/>
        </w:rPr>
        <w:t> à des effecteurs distincts, nécessitant l'intervention d'autres protéines pour la transduction du signal.</w:t>
      </w:r>
    </w:p>
    <w:p w14:paraId="74B2D86C" w14:textId="5C4016F5" w:rsidR="00906940" w:rsidRPr="00F02E68" w:rsidRDefault="00493A17" w:rsidP="007F17A8">
      <w:pPr>
        <w:spacing w:before="360" w:after="240" w:line="240" w:lineRule="auto"/>
        <w:jc w:val="both"/>
        <w:outlineLvl w:val="3"/>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1</w:t>
      </w:r>
      <w:r w:rsidR="00906940" w:rsidRPr="00F02E68">
        <w:rPr>
          <w:rFonts w:asciiTheme="majorBidi" w:eastAsia="Times New Roman" w:hAnsiTheme="majorBidi" w:cstheme="majorBidi"/>
          <w:b/>
          <w:bCs/>
          <w:color w:val="000000"/>
          <w:sz w:val="24"/>
          <w:szCs w:val="24"/>
          <w:lang w:eastAsia="fr-FR"/>
        </w:rPr>
        <w:t>.1.1. Les récepteurs canaux-ioniques</w:t>
      </w:r>
    </w:p>
    <w:p w14:paraId="0C2599F4"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Ce sont des protéines </w:t>
      </w:r>
      <w:r w:rsidRPr="00F02E68">
        <w:rPr>
          <w:rFonts w:asciiTheme="majorBidi" w:eastAsia="Times New Roman" w:hAnsiTheme="majorBidi" w:cstheme="majorBidi"/>
          <w:b/>
          <w:bCs/>
          <w:color w:val="000000"/>
          <w:sz w:val="24"/>
          <w:szCs w:val="24"/>
          <w:lang w:eastAsia="fr-FR"/>
        </w:rPr>
        <w:t>transmembranaires hétéro-oligomériques</w:t>
      </w:r>
      <w:r w:rsidRPr="00F02E68">
        <w:rPr>
          <w:rFonts w:asciiTheme="majorBidi" w:eastAsia="Times New Roman" w:hAnsiTheme="majorBidi" w:cstheme="majorBidi"/>
          <w:color w:val="000000"/>
          <w:sz w:val="24"/>
          <w:szCs w:val="24"/>
          <w:lang w:eastAsia="fr-FR"/>
        </w:rPr>
        <w:t> avec une région d'ancrage hydrophobe dans la membrane. Cette région forme le pore central, délimité par les sous-unités. Y passent les ions quand le récepteur est activé, ouvert. Cela confère donc aux récepteurs </w:t>
      </w:r>
      <w:r w:rsidRPr="00F02E68">
        <w:rPr>
          <w:rFonts w:asciiTheme="majorBidi" w:eastAsia="Times New Roman" w:hAnsiTheme="majorBidi" w:cstheme="majorBidi"/>
          <w:i/>
          <w:iCs/>
          <w:color w:val="000000"/>
          <w:sz w:val="24"/>
          <w:szCs w:val="24"/>
          <w:lang w:eastAsia="fr-FR"/>
        </w:rPr>
        <w:t>canaux ioniques une double fonction de reconnaissance du signal et d'effecteurs</w:t>
      </w:r>
      <w:r w:rsidRPr="00F02E68">
        <w:rPr>
          <w:rFonts w:asciiTheme="majorBidi" w:eastAsia="Times New Roman" w:hAnsiTheme="majorBidi" w:cstheme="majorBidi"/>
          <w:color w:val="000000"/>
          <w:sz w:val="24"/>
          <w:szCs w:val="24"/>
          <w:lang w:eastAsia="fr-FR"/>
        </w:rPr>
        <w:t>.</w:t>
      </w:r>
      <w:r w:rsidRPr="00F02E68">
        <w:rPr>
          <w:rFonts w:asciiTheme="majorBidi" w:eastAsia="Times New Roman" w:hAnsiTheme="majorBidi" w:cstheme="majorBidi"/>
          <w:color w:val="000000"/>
          <w:sz w:val="24"/>
          <w:szCs w:val="24"/>
          <w:lang w:eastAsia="fr-FR"/>
        </w:rPr>
        <w:br/>
        <w:t>Les molécules informatives des récepteurs canaux-ioniques sont des neurotransmetteurs et leurs récepteurs sont donc localisés dans les réseaux nerveux : synapses et plaques motrices.</w:t>
      </w:r>
      <w:r w:rsidRPr="00F02E68">
        <w:rPr>
          <w:rFonts w:asciiTheme="majorBidi" w:eastAsia="Times New Roman" w:hAnsiTheme="majorBidi" w:cstheme="majorBidi"/>
          <w:color w:val="000000"/>
          <w:sz w:val="24"/>
          <w:szCs w:val="24"/>
          <w:lang w:eastAsia="fr-FR"/>
        </w:rPr>
        <w:br/>
        <w:t>Si ce sont des cations qui passent, il y aura dépolarisation et donc activation.</w:t>
      </w:r>
      <w:r w:rsidRPr="00F02E68">
        <w:rPr>
          <w:rFonts w:asciiTheme="majorBidi" w:eastAsia="Times New Roman" w:hAnsiTheme="majorBidi" w:cstheme="majorBidi"/>
          <w:color w:val="000000"/>
          <w:sz w:val="24"/>
          <w:szCs w:val="24"/>
          <w:lang w:eastAsia="fr-FR"/>
        </w:rPr>
        <w:br/>
        <w:t>Si ce sont des anions qui passent, il y aura polarisation et donc inhibition.</w:t>
      </w:r>
    </w:p>
    <w:p w14:paraId="198FDCB7" w14:textId="5B318C01" w:rsidR="00906940" w:rsidRPr="00F02E68" w:rsidRDefault="00493A17" w:rsidP="007F17A8">
      <w:pPr>
        <w:spacing w:before="100" w:beforeAutospacing="1" w:after="100" w:afterAutospacing="1" w:line="240" w:lineRule="auto"/>
        <w:jc w:val="both"/>
        <w:outlineLvl w:val="4"/>
        <w:rPr>
          <w:rFonts w:asciiTheme="majorBidi" w:eastAsia="Times New Roman" w:hAnsiTheme="majorBidi" w:cstheme="majorBidi"/>
          <w:b/>
          <w:bCs/>
          <w:color w:val="000000"/>
          <w:sz w:val="20"/>
          <w:szCs w:val="20"/>
          <w:lang w:eastAsia="fr-FR"/>
        </w:rPr>
      </w:pPr>
      <w:r>
        <w:rPr>
          <w:rFonts w:asciiTheme="majorBidi" w:eastAsia="Times New Roman" w:hAnsiTheme="majorBidi" w:cstheme="majorBidi"/>
          <w:b/>
          <w:bCs/>
          <w:color w:val="000000"/>
          <w:sz w:val="20"/>
          <w:szCs w:val="20"/>
          <w:lang w:eastAsia="fr-FR"/>
        </w:rPr>
        <w:t>*</w:t>
      </w:r>
      <w:r w:rsidR="00906940" w:rsidRPr="00F02E68">
        <w:rPr>
          <w:rFonts w:asciiTheme="majorBidi" w:eastAsia="Times New Roman" w:hAnsiTheme="majorBidi" w:cstheme="majorBidi"/>
          <w:b/>
          <w:bCs/>
          <w:color w:val="000000"/>
          <w:sz w:val="20"/>
          <w:szCs w:val="20"/>
          <w:lang w:eastAsia="fr-FR"/>
        </w:rPr>
        <w:t xml:space="preserve"> Un récepteur activateur : le récepteur nicotinique de l'acétylcholine</w:t>
      </w:r>
    </w:p>
    <w:p w14:paraId="3F131F5D"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lastRenderedPageBreak/>
        <w:t>Il fonctionne par un </w:t>
      </w:r>
      <w:r w:rsidRPr="00F02E68">
        <w:rPr>
          <w:rFonts w:asciiTheme="majorBidi" w:eastAsia="Times New Roman" w:hAnsiTheme="majorBidi" w:cstheme="majorBidi"/>
          <w:b/>
          <w:bCs/>
          <w:color w:val="000000"/>
          <w:sz w:val="24"/>
          <w:szCs w:val="24"/>
          <w:lang w:eastAsia="fr-FR"/>
        </w:rPr>
        <w:t>canal cationique non sélectif</w:t>
      </w:r>
      <w:r w:rsidRPr="00F02E68">
        <w:rPr>
          <w:rFonts w:asciiTheme="majorBidi" w:eastAsia="Times New Roman" w:hAnsiTheme="majorBidi" w:cstheme="majorBidi"/>
          <w:color w:val="000000"/>
          <w:sz w:val="24"/>
          <w:szCs w:val="24"/>
          <w:lang w:eastAsia="fr-FR"/>
        </w:rPr>
        <w:t> faisant entrer Na+ et Ca</w:t>
      </w:r>
      <w:r w:rsidRPr="00F02E68">
        <w:rPr>
          <w:rFonts w:asciiTheme="majorBidi" w:eastAsia="Times New Roman" w:hAnsiTheme="majorBidi" w:cstheme="majorBidi"/>
          <w:color w:val="000000"/>
          <w:sz w:val="24"/>
          <w:szCs w:val="24"/>
          <w:vertAlign w:val="superscript"/>
          <w:lang w:eastAsia="fr-FR"/>
        </w:rPr>
        <w:t>2+</w:t>
      </w:r>
      <w:r w:rsidRPr="00F02E68">
        <w:rPr>
          <w:rFonts w:asciiTheme="majorBidi" w:eastAsia="Times New Roman" w:hAnsiTheme="majorBidi" w:cstheme="majorBidi"/>
          <w:color w:val="000000"/>
          <w:sz w:val="24"/>
          <w:szCs w:val="24"/>
          <w:lang w:eastAsia="fr-FR"/>
        </w:rPr>
        <w:t> et laissant sortir K+ (avec un passage de 10.000 Na+/sec).</w:t>
      </w:r>
      <w:r w:rsidRPr="00F02E68">
        <w:rPr>
          <w:rFonts w:asciiTheme="majorBidi" w:eastAsia="Times New Roman" w:hAnsiTheme="majorBidi" w:cstheme="majorBidi"/>
          <w:color w:val="000000"/>
          <w:sz w:val="24"/>
          <w:szCs w:val="24"/>
          <w:lang w:eastAsia="fr-FR"/>
        </w:rPr>
        <w:br/>
        <w:t>Il est localisé sur les plaques motrices des jonctions neuromusculaires. Son agoniste est la nicotine, son antagoniste est le curare.</w:t>
      </w:r>
      <w:r w:rsidRPr="00F02E68">
        <w:rPr>
          <w:rFonts w:asciiTheme="majorBidi" w:eastAsia="Times New Roman" w:hAnsiTheme="majorBidi" w:cstheme="majorBidi"/>
          <w:color w:val="000000"/>
          <w:sz w:val="24"/>
          <w:szCs w:val="24"/>
          <w:lang w:eastAsia="fr-FR"/>
        </w:rPr>
        <w:br/>
        <w:t>Il comporte 5 sous-unités protéiques différentes possédant chacunes 4 segments transmembranaires (M1 à M4). ce sont les segments M2 qui délimitent le canal. Ces sous-unités sont : 2 α, une β, une δ, une ε. Les parties COOH et NH2 des sous-unités α sont extracellulaires. Ce sont les sous-unités α qui comportent les sites de liaison de l'acétylcholine.</w:t>
      </w:r>
    </w:p>
    <w:p w14:paraId="5BA7062E" w14:textId="007AB846" w:rsidR="00906940" w:rsidRPr="00F02E68" w:rsidRDefault="00493A17" w:rsidP="007F17A8">
      <w:pPr>
        <w:spacing w:before="100" w:beforeAutospacing="1" w:after="100" w:afterAutospacing="1" w:line="240" w:lineRule="auto"/>
        <w:jc w:val="both"/>
        <w:outlineLvl w:val="4"/>
        <w:rPr>
          <w:rFonts w:asciiTheme="majorBidi" w:eastAsia="Times New Roman" w:hAnsiTheme="majorBidi" w:cstheme="majorBidi"/>
          <w:b/>
          <w:bCs/>
          <w:color w:val="000000"/>
          <w:sz w:val="20"/>
          <w:szCs w:val="20"/>
          <w:lang w:eastAsia="fr-FR"/>
        </w:rPr>
      </w:pPr>
      <w:r>
        <w:rPr>
          <w:rFonts w:asciiTheme="majorBidi" w:eastAsia="Times New Roman" w:hAnsiTheme="majorBidi" w:cstheme="majorBidi"/>
          <w:b/>
          <w:bCs/>
          <w:color w:val="000000"/>
          <w:sz w:val="20"/>
          <w:szCs w:val="20"/>
          <w:lang w:eastAsia="fr-FR"/>
        </w:rPr>
        <w:t>*</w:t>
      </w:r>
      <w:r w:rsidR="00906940" w:rsidRPr="00F02E68">
        <w:rPr>
          <w:rFonts w:asciiTheme="majorBidi" w:eastAsia="Times New Roman" w:hAnsiTheme="majorBidi" w:cstheme="majorBidi"/>
          <w:b/>
          <w:bCs/>
          <w:color w:val="000000"/>
          <w:sz w:val="20"/>
          <w:szCs w:val="20"/>
          <w:lang w:eastAsia="fr-FR"/>
        </w:rPr>
        <w:t>. Un récepteur inhibiteur : le récepteur du GABA</w:t>
      </w:r>
    </w:p>
    <w:p w14:paraId="31A4F2EC"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C'est un </w:t>
      </w:r>
      <w:r w:rsidRPr="00F02E68">
        <w:rPr>
          <w:rFonts w:asciiTheme="majorBidi" w:eastAsia="Times New Roman" w:hAnsiTheme="majorBidi" w:cstheme="majorBidi"/>
          <w:b/>
          <w:bCs/>
          <w:color w:val="000000"/>
          <w:sz w:val="24"/>
          <w:szCs w:val="24"/>
          <w:lang w:eastAsia="fr-FR"/>
        </w:rPr>
        <w:t>canal anionique sélectif</w:t>
      </w:r>
      <w:r w:rsidRPr="00F02E68">
        <w:rPr>
          <w:rFonts w:asciiTheme="majorBidi" w:eastAsia="Times New Roman" w:hAnsiTheme="majorBidi" w:cstheme="majorBidi"/>
          <w:color w:val="000000"/>
          <w:sz w:val="24"/>
          <w:szCs w:val="24"/>
          <w:lang w:eastAsia="fr-FR"/>
        </w:rPr>
        <w:t> faisant entrer du Cl-.</w:t>
      </w:r>
      <w:r w:rsidRPr="00F02E68">
        <w:rPr>
          <w:rFonts w:asciiTheme="majorBidi" w:eastAsia="Times New Roman" w:hAnsiTheme="majorBidi" w:cstheme="majorBidi"/>
          <w:color w:val="000000"/>
          <w:sz w:val="24"/>
          <w:szCs w:val="24"/>
          <w:lang w:eastAsia="fr-FR"/>
        </w:rPr>
        <w:br/>
        <w:t>Il est exprimé au niveau du SNC. Ses agonistes sont les benzodiazépines dont le valium. La structure de base est proche de celle du récepteur nicotinique : cinq sous-unités protéiques, chacune présentant 4 segments transmembranaires (M1 à M4). Mais contrairement aux récepteurs nicotiniques, elle possède sept types de sous-unités possibles : α, β, γ, δ, π, ρ, ε ; d'où la très grande variété de récepteurs. Le GABA se fixera sur les sous-unités α.</w:t>
      </w:r>
    </w:p>
    <w:p w14:paraId="200803E7" w14:textId="22C9A22B" w:rsidR="00906940" w:rsidRPr="00F02E68" w:rsidRDefault="00493A17" w:rsidP="007F17A8">
      <w:pPr>
        <w:spacing w:before="360" w:after="240" w:line="240" w:lineRule="auto"/>
        <w:jc w:val="both"/>
        <w:outlineLvl w:val="3"/>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1</w:t>
      </w:r>
      <w:r w:rsidR="00906940" w:rsidRPr="00F02E68">
        <w:rPr>
          <w:rFonts w:asciiTheme="majorBidi" w:eastAsia="Times New Roman" w:hAnsiTheme="majorBidi" w:cstheme="majorBidi"/>
          <w:b/>
          <w:bCs/>
          <w:color w:val="000000"/>
          <w:sz w:val="24"/>
          <w:szCs w:val="24"/>
          <w:lang w:eastAsia="fr-FR"/>
        </w:rPr>
        <w:t>.1.2. Les récepteurs enzymes</w:t>
      </w:r>
    </w:p>
    <w:p w14:paraId="6E8A8949"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Ces protéines transmembranaires existent sous forme de </w:t>
      </w:r>
      <w:r w:rsidRPr="00F02E68">
        <w:rPr>
          <w:rFonts w:asciiTheme="majorBidi" w:eastAsia="Times New Roman" w:hAnsiTheme="majorBidi" w:cstheme="majorBidi"/>
          <w:b/>
          <w:bCs/>
          <w:color w:val="000000"/>
          <w:sz w:val="24"/>
          <w:szCs w:val="24"/>
          <w:lang w:eastAsia="fr-FR"/>
        </w:rPr>
        <w:t>monomères</w:t>
      </w:r>
      <w:r w:rsidRPr="00F02E68">
        <w:rPr>
          <w:rFonts w:asciiTheme="majorBidi" w:eastAsia="Times New Roman" w:hAnsiTheme="majorBidi" w:cstheme="majorBidi"/>
          <w:color w:val="000000"/>
          <w:sz w:val="24"/>
          <w:szCs w:val="24"/>
          <w:lang w:eastAsia="fr-FR"/>
        </w:rPr>
        <w:t>, </w:t>
      </w:r>
      <w:r w:rsidRPr="00F02E68">
        <w:rPr>
          <w:rFonts w:asciiTheme="majorBidi" w:eastAsia="Times New Roman" w:hAnsiTheme="majorBidi" w:cstheme="majorBidi"/>
          <w:b/>
          <w:bCs/>
          <w:color w:val="000000"/>
          <w:sz w:val="24"/>
          <w:szCs w:val="24"/>
          <w:lang w:eastAsia="fr-FR"/>
        </w:rPr>
        <w:t>dimères</w:t>
      </w:r>
      <w:r w:rsidRPr="00F02E68">
        <w:rPr>
          <w:rFonts w:asciiTheme="majorBidi" w:eastAsia="Times New Roman" w:hAnsiTheme="majorBidi" w:cstheme="majorBidi"/>
          <w:color w:val="000000"/>
          <w:sz w:val="24"/>
          <w:szCs w:val="24"/>
          <w:lang w:eastAsia="fr-FR"/>
        </w:rPr>
        <w:t>, </w:t>
      </w:r>
      <w:r w:rsidRPr="00F02E68">
        <w:rPr>
          <w:rFonts w:asciiTheme="majorBidi" w:eastAsia="Times New Roman" w:hAnsiTheme="majorBidi" w:cstheme="majorBidi"/>
          <w:b/>
          <w:bCs/>
          <w:color w:val="000000"/>
          <w:sz w:val="24"/>
          <w:szCs w:val="24"/>
          <w:lang w:eastAsia="fr-FR"/>
        </w:rPr>
        <w:t>tétramères</w:t>
      </w:r>
      <w:r w:rsidRPr="00F02E68">
        <w:rPr>
          <w:rFonts w:asciiTheme="majorBidi" w:eastAsia="Times New Roman" w:hAnsiTheme="majorBidi" w:cstheme="majorBidi"/>
          <w:color w:val="000000"/>
          <w:sz w:val="24"/>
          <w:szCs w:val="24"/>
          <w:lang w:eastAsia="fr-FR"/>
        </w:rPr>
        <w:t>. Ils possédent une double fonction de reconnaissance du signal et d'effecteur. Selon l'activité enzymatique de leur région cellulaire, trois familles se distinguent :</w:t>
      </w:r>
    </w:p>
    <w:p w14:paraId="53C1A397" w14:textId="77777777" w:rsidR="00906940" w:rsidRPr="00F02E68" w:rsidRDefault="00906940" w:rsidP="007F17A8">
      <w:pPr>
        <w:numPr>
          <w:ilvl w:val="0"/>
          <w:numId w:val="5"/>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récepteurs à activité </w:t>
      </w:r>
      <w:r w:rsidRPr="00F02E68">
        <w:rPr>
          <w:rFonts w:asciiTheme="majorBidi" w:eastAsia="Times New Roman" w:hAnsiTheme="majorBidi" w:cstheme="majorBidi"/>
          <w:b/>
          <w:bCs/>
          <w:color w:val="000000"/>
          <w:sz w:val="24"/>
          <w:szCs w:val="24"/>
          <w:lang w:eastAsia="fr-FR"/>
        </w:rPr>
        <w:t>tyrosine kinase</w:t>
      </w:r>
      <w:r w:rsidRPr="00F02E68">
        <w:rPr>
          <w:rFonts w:asciiTheme="majorBidi" w:eastAsia="Times New Roman" w:hAnsiTheme="majorBidi" w:cstheme="majorBidi"/>
          <w:color w:val="000000"/>
          <w:sz w:val="24"/>
          <w:szCs w:val="24"/>
          <w:lang w:eastAsia="fr-FR"/>
        </w:rPr>
        <w:t>,</w:t>
      </w:r>
    </w:p>
    <w:p w14:paraId="46ADAB40" w14:textId="77777777" w:rsidR="00906940" w:rsidRPr="00F02E68" w:rsidRDefault="00906940" w:rsidP="007F17A8">
      <w:pPr>
        <w:numPr>
          <w:ilvl w:val="0"/>
          <w:numId w:val="5"/>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récepteurs à activité </w:t>
      </w:r>
      <w:r w:rsidRPr="00F02E68">
        <w:rPr>
          <w:rFonts w:asciiTheme="majorBidi" w:eastAsia="Times New Roman" w:hAnsiTheme="majorBidi" w:cstheme="majorBidi"/>
          <w:b/>
          <w:bCs/>
          <w:color w:val="000000"/>
          <w:sz w:val="24"/>
          <w:szCs w:val="24"/>
          <w:lang w:eastAsia="fr-FR"/>
        </w:rPr>
        <w:t>sérine-thréonine kinase</w:t>
      </w:r>
      <w:r w:rsidRPr="00F02E68">
        <w:rPr>
          <w:rFonts w:asciiTheme="majorBidi" w:eastAsia="Times New Roman" w:hAnsiTheme="majorBidi" w:cstheme="majorBidi"/>
          <w:color w:val="000000"/>
          <w:sz w:val="24"/>
          <w:szCs w:val="24"/>
          <w:lang w:eastAsia="fr-FR"/>
        </w:rPr>
        <w:t>,</w:t>
      </w:r>
    </w:p>
    <w:p w14:paraId="0F8F9676" w14:textId="77777777" w:rsidR="00906940" w:rsidRPr="00F02E68" w:rsidRDefault="00906940" w:rsidP="007F17A8">
      <w:pPr>
        <w:numPr>
          <w:ilvl w:val="0"/>
          <w:numId w:val="5"/>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récepteurs à activité </w:t>
      </w:r>
      <w:r w:rsidRPr="00F02E68">
        <w:rPr>
          <w:rFonts w:asciiTheme="majorBidi" w:eastAsia="Times New Roman" w:hAnsiTheme="majorBidi" w:cstheme="majorBidi"/>
          <w:b/>
          <w:bCs/>
          <w:color w:val="000000"/>
          <w:sz w:val="24"/>
          <w:szCs w:val="24"/>
          <w:lang w:eastAsia="fr-FR"/>
        </w:rPr>
        <w:t>guanylate cyclase</w:t>
      </w:r>
      <w:r w:rsidRPr="00F02E68">
        <w:rPr>
          <w:rFonts w:asciiTheme="majorBidi" w:eastAsia="Times New Roman" w:hAnsiTheme="majorBidi" w:cstheme="majorBidi"/>
          <w:color w:val="000000"/>
          <w:sz w:val="24"/>
          <w:szCs w:val="24"/>
          <w:lang w:eastAsia="fr-FR"/>
        </w:rPr>
        <w:t>.</w:t>
      </w:r>
    </w:p>
    <w:p w14:paraId="128BE90A"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Le NH2 sera dans la partie récepteur extracellulaire et le COOH sera dans la partie intracellulaire, conduction du message.</w:t>
      </w:r>
    </w:p>
    <w:p w14:paraId="1C77D2A4" w14:textId="55899B71" w:rsidR="00906940" w:rsidRPr="00F02E68" w:rsidRDefault="00493A17" w:rsidP="007F17A8">
      <w:pPr>
        <w:spacing w:before="100" w:beforeAutospacing="1" w:after="100" w:afterAutospacing="1" w:line="240" w:lineRule="auto"/>
        <w:jc w:val="both"/>
        <w:outlineLvl w:val="4"/>
        <w:rPr>
          <w:rFonts w:asciiTheme="majorBidi" w:eastAsia="Times New Roman" w:hAnsiTheme="majorBidi" w:cstheme="majorBidi"/>
          <w:b/>
          <w:bCs/>
          <w:color w:val="000000"/>
          <w:sz w:val="20"/>
          <w:szCs w:val="20"/>
          <w:lang w:eastAsia="fr-FR"/>
        </w:rPr>
      </w:pPr>
      <w:r>
        <w:rPr>
          <w:rFonts w:asciiTheme="majorBidi" w:eastAsia="Times New Roman" w:hAnsiTheme="majorBidi" w:cstheme="majorBidi"/>
          <w:b/>
          <w:bCs/>
          <w:color w:val="000000"/>
          <w:sz w:val="20"/>
          <w:szCs w:val="20"/>
          <w:lang w:eastAsia="fr-FR"/>
        </w:rPr>
        <w:t>*</w:t>
      </w:r>
      <w:r w:rsidR="00906940" w:rsidRPr="00F02E68">
        <w:rPr>
          <w:rFonts w:asciiTheme="majorBidi" w:eastAsia="Times New Roman" w:hAnsiTheme="majorBidi" w:cstheme="majorBidi"/>
          <w:b/>
          <w:bCs/>
          <w:color w:val="000000"/>
          <w:sz w:val="20"/>
          <w:szCs w:val="20"/>
          <w:lang w:eastAsia="fr-FR"/>
        </w:rPr>
        <w:t>. Récepteurs à activité tyrosine kinase</w:t>
      </w:r>
    </w:p>
    <w:p w14:paraId="3BD8A549"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Deux exemples sont à connaitre : le </w:t>
      </w:r>
      <w:r w:rsidRPr="00F02E68">
        <w:rPr>
          <w:rFonts w:asciiTheme="majorBidi" w:eastAsia="Times New Roman" w:hAnsiTheme="majorBidi" w:cstheme="majorBidi"/>
          <w:b/>
          <w:bCs/>
          <w:color w:val="000000"/>
          <w:sz w:val="24"/>
          <w:szCs w:val="24"/>
          <w:lang w:eastAsia="fr-FR"/>
        </w:rPr>
        <w:t>récepteur de plusieurs facteurs de croissance</w:t>
      </w:r>
      <w:r w:rsidRPr="00F02E68">
        <w:rPr>
          <w:rFonts w:asciiTheme="majorBidi" w:eastAsia="Times New Roman" w:hAnsiTheme="majorBidi" w:cstheme="majorBidi"/>
          <w:color w:val="000000"/>
          <w:sz w:val="24"/>
          <w:szCs w:val="24"/>
          <w:lang w:eastAsia="fr-FR"/>
        </w:rPr>
        <w:t> et le </w:t>
      </w:r>
      <w:r w:rsidRPr="00F02E68">
        <w:rPr>
          <w:rFonts w:asciiTheme="majorBidi" w:eastAsia="Times New Roman" w:hAnsiTheme="majorBidi" w:cstheme="majorBidi"/>
          <w:b/>
          <w:bCs/>
          <w:color w:val="000000"/>
          <w:sz w:val="24"/>
          <w:szCs w:val="24"/>
          <w:lang w:eastAsia="fr-FR"/>
        </w:rPr>
        <w:t>récepteur de l'insuline</w:t>
      </w:r>
      <w:r w:rsidRPr="00F02E68">
        <w:rPr>
          <w:rFonts w:asciiTheme="majorBidi" w:eastAsia="Times New Roman" w:hAnsiTheme="majorBidi" w:cstheme="majorBidi"/>
          <w:color w:val="000000"/>
          <w:sz w:val="24"/>
          <w:szCs w:val="24"/>
          <w:lang w:eastAsia="fr-FR"/>
        </w:rPr>
        <w:t> (et donc également ceux de l'IGF : </w:t>
      </w:r>
      <w:r w:rsidRPr="00F02E68">
        <w:rPr>
          <w:rFonts w:asciiTheme="majorBidi" w:eastAsia="Times New Roman" w:hAnsiTheme="majorBidi" w:cstheme="majorBidi"/>
          <w:b/>
          <w:bCs/>
          <w:color w:val="000000"/>
          <w:sz w:val="24"/>
          <w:szCs w:val="24"/>
          <w:lang w:eastAsia="fr-FR"/>
        </w:rPr>
        <w:t>insulin-like growth factor</w:t>
      </w:r>
      <w:r w:rsidRPr="00F02E68">
        <w:rPr>
          <w:rFonts w:asciiTheme="majorBidi" w:eastAsia="Times New Roman" w:hAnsiTheme="majorBidi" w:cstheme="majorBidi"/>
          <w:color w:val="000000"/>
          <w:sz w:val="24"/>
          <w:szCs w:val="24"/>
          <w:lang w:eastAsia="fr-FR"/>
        </w:rPr>
        <w:t>). Ces récepteurs n'ont pas de double fonction, ils n'entraînent pas de réponse électrophysiologique.</w:t>
      </w:r>
      <w:r w:rsidRPr="00F02E68">
        <w:rPr>
          <w:rFonts w:asciiTheme="majorBidi" w:eastAsia="Times New Roman" w:hAnsiTheme="majorBidi" w:cstheme="majorBidi"/>
          <w:color w:val="000000"/>
          <w:sz w:val="24"/>
          <w:szCs w:val="24"/>
          <w:lang w:eastAsia="fr-FR"/>
        </w:rPr>
        <w:br/>
        <w:t>Le récepteur de l'insuline est un tétramère composé de deux hétérodimères αβ liés par deux ponts disulfure</w:t>
      </w:r>
      <w:r w:rsidRPr="00F02E68">
        <w:rPr>
          <w:rFonts w:asciiTheme="majorBidi" w:eastAsia="Times New Roman" w:hAnsiTheme="majorBidi" w:cstheme="majorBidi"/>
          <w:i/>
          <w:iCs/>
          <w:color w:val="000000"/>
          <w:sz w:val="24"/>
          <w:szCs w:val="24"/>
          <w:lang w:eastAsia="fr-FR"/>
        </w:rPr>
        <w:t>s</w:t>
      </w:r>
      <w:r w:rsidRPr="00F02E68">
        <w:rPr>
          <w:rFonts w:asciiTheme="majorBidi" w:eastAsia="Times New Roman" w:hAnsiTheme="majorBidi" w:cstheme="majorBidi"/>
          <w:color w:val="000000"/>
          <w:sz w:val="24"/>
          <w:szCs w:val="24"/>
          <w:lang w:eastAsia="fr-FR"/>
        </w:rPr>
        <w:t>, les deux sous-unités différentes α et β étant elles mêmes liées par un pont disulfure.</w:t>
      </w:r>
      <w:r w:rsidRPr="00F02E68">
        <w:rPr>
          <w:rFonts w:asciiTheme="majorBidi" w:eastAsia="Times New Roman" w:hAnsiTheme="majorBidi" w:cstheme="majorBidi"/>
          <w:color w:val="000000"/>
          <w:sz w:val="24"/>
          <w:szCs w:val="24"/>
          <w:lang w:eastAsia="fr-FR"/>
        </w:rPr>
        <w:br/>
        <w:t>Les deux hétéro-dimères sont liés sur les sous-unités α , sous-unités extramembranaires permettant la liaison de l'insuline. La sous-unité β transmembranaire contient un domaine à activité tyrosine kinase dans son domaine intracellulaire responsable de la transduction du message.</w:t>
      </w:r>
      <w:r w:rsidRPr="00F02E68">
        <w:rPr>
          <w:rFonts w:asciiTheme="majorBidi" w:eastAsia="Times New Roman" w:hAnsiTheme="majorBidi" w:cstheme="majorBidi"/>
          <w:color w:val="000000"/>
          <w:sz w:val="24"/>
          <w:szCs w:val="24"/>
          <w:lang w:eastAsia="fr-FR"/>
        </w:rPr>
        <w:br/>
        <w:t>Lorsque l'insuline se fixe sur les sous-unités α il y a changement de </w:t>
      </w:r>
      <w:r w:rsidRPr="00F02E68">
        <w:rPr>
          <w:rFonts w:asciiTheme="majorBidi" w:eastAsia="Times New Roman" w:hAnsiTheme="majorBidi" w:cstheme="majorBidi"/>
          <w:b/>
          <w:bCs/>
          <w:color w:val="000000"/>
          <w:sz w:val="24"/>
          <w:szCs w:val="24"/>
          <w:lang w:eastAsia="fr-FR"/>
        </w:rPr>
        <w:t>conformation spatiale</w:t>
      </w:r>
      <w:r w:rsidRPr="00F02E68">
        <w:rPr>
          <w:rFonts w:asciiTheme="majorBidi" w:eastAsia="Times New Roman" w:hAnsiTheme="majorBidi" w:cstheme="majorBidi"/>
          <w:color w:val="000000"/>
          <w:sz w:val="24"/>
          <w:szCs w:val="24"/>
          <w:lang w:eastAsia="fr-FR"/>
        </w:rPr>
        <w:t>, ceci activant le domaine kinasique des deux sous-unités β. Les tyrosines des sous-unités β sont alors phosphorylées par l'influence de la sous-unité β opposée (autophosphorylation).</w:t>
      </w:r>
      <w:r w:rsidRPr="00F02E68">
        <w:rPr>
          <w:rFonts w:asciiTheme="majorBidi" w:eastAsia="Times New Roman" w:hAnsiTheme="majorBidi" w:cstheme="majorBidi"/>
          <w:color w:val="000000"/>
          <w:sz w:val="24"/>
          <w:szCs w:val="24"/>
          <w:lang w:eastAsia="fr-FR"/>
        </w:rPr>
        <w:br/>
        <w:t>Le récepteur phosphorylé va alors recruter vers la membrane une protéine substrat du récepteur pour la phosphoryler à son tour et ainsi déclencher une cascade d'événements biochimiques conduisant à la réponse adaptative. C'est une réponse rapide, post-transcritpionnelle.</w:t>
      </w:r>
    </w:p>
    <w:p w14:paraId="0149B4D8" w14:textId="44F9A535" w:rsidR="00906940" w:rsidRPr="00F02E68" w:rsidRDefault="00493A17" w:rsidP="007F17A8">
      <w:pPr>
        <w:spacing w:before="100" w:beforeAutospacing="1" w:after="100" w:afterAutospacing="1" w:line="240" w:lineRule="auto"/>
        <w:jc w:val="both"/>
        <w:outlineLvl w:val="4"/>
        <w:rPr>
          <w:rFonts w:asciiTheme="majorBidi" w:eastAsia="Times New Roman" w:hAnsiTheme="majorBidi" w:cstheme="majorBidi"/>
          <w:b/>
          <w:bCs/>
          <w:color w:val="000000"/>
          <w:sz w:val="20"/>
          <w:szCs w:val="20"/>
          <w:lang w:eastAsia="fr-FR"/>
        </w:rPr>
      </w:pPr>
      <w:r>
        <w:rPr>
          <w:rFonts w:asciiTheme="majorBidi" w:eastAsia="Times New Roman" w:hAnsiTheme="majorBidi" w:cstheme="majorBidi"/>
          <w:b/>
          <w:bCs/>
          <w:color w:val="000000"/>
          <w:sz w:val="20"/>
          <w:szCs w:val="20"/>
          <w:lang w:eastAsia="fr-FR"/>
        </w:rPr>
        <w:lastRenderedPageBreak/>
        <w:t>*</w:t>
      </w:r>
      <w:r w:rsidR="00906940" w:rsidRPr="00F02E68">
        <w:rPr>
          <w:rFonts w:asciiTheme="majorBidi" w:eastAsia="Times New Roman" w:hAnsiTheme="majorBidi" w:cstheme="majorBidi"/>
          <w:b/>
          <w:bCs/>
          <w:color w:val="000000"/>
          <w:sz w:val="20"/>
          <w:szCs w:val="20"/>
          <w:lang w:eastAsia="fr-FR"/>
        </w:rPr>
        <w:t xml:space="preserve"> Récepteurs à activité sérine-thréonine kinase</w:t>
      </w:r>
    </w:p>
    <w:p w14:paraId="03AB7559"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Ces récepteurs n'entraînent pas de réponse électrophysiologique. Les récepteurs du TGF-β (transforming growth factor-β)en sont un exemple. Là aussi le tétramère est formé de quatre sous-unités transmembranaires (deux types : RI et RII) chacunes ayant une activité sérine-thréonine kinase. On observe le même phénomène d'autophosphorylation des régions intracellulaires suivi de la phosphorylation des facteurs protéiques de transcription.</w:t>
      </w:r>
    </w:p>
    <w:p w14:paraId="63C1979F" w14:textId="1BBB9D90" w:rsidR="00906940" w:rsidRPr="00F02E68" w:rsidRDefault="00493A17" w:rsidP="007F17A8">
      <w:pPr>
        <w:spacing w:before="100" w:beforeAutospacing="1" w:after="100" w:afterAutospacing="1" w:line="240" w:lineRule="auto"/>
        <w:jc w:val="both"/>
        <w:outlineLvl w:val="4"/>
        <w:rPr>
          <w:rFonts w:asciiTheme="majorBidi" w:eastAsia="Times New Roman" w:hAnsiTheme="majorBidi" w:cstheme="majorBidi"/>
          <w:b/>
          <w:bCs/>
          <w:color w:val="000000"/>
          <w:sz w:val="20"/>
          <w:szCs w:val="20"/>
          <w:lang w:eastAsia="fr-FR"/>
        </w:rPr>
      </w:pPr>
      <w:r>
        <w:rPr>
          <w:rFonts w:asciiTheme="majorBidi" w:eastAsia="Times New Roman" w:hAnsiTheme="majorBidi" w:cstheme="majorBidi"/>
          <w:b/>
          <w:bCs/>
          <w:color w:val="000000"/>
          <w:sz w:val="20"/>
          <w:szCs w:val="20"/>
          <w:lang w:eastAsia="fr-FR"/>
        </w:rPr>
        <w:t>*</w:t>
      </w:r>
      <w:r w:rsidR="00906940" w:rsidRPr="00F02E68">
        <w:rPr>
          <w:rFonts w:asciiTheme="majorBidi" w:eastAsia="Times New Roman" w:hAnsiTheme="majorBidi" w:cstheme="majorBidi"/>
          <w:b/>
          <w:bCs/>
          <w:color w:val="000000"/>
          <w:sz w:val="20"/>
          <w:szCs w:val="20"/>
          <w:lang w:eastAsia="fr-FR"/>
        </w:rPr>
        <w:t>. Récepteurs à activité guanylate cyclase</w:t>
      </w:r>
    </w:p>
    <w:p w14:paraId="14E28E42"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Les </w:t>
      </w:r>
      <w:r w:rsidRPr="00F02E68">
        <w:rPr>
          <w:rFonts w:asciiTheme="majorBidi" w:eastAsia="Times New Roman" w:hAnsiTheme="majorBidi" w:cstheme="majorBidi"/>
          <w:b/>
          <w:bCs/>
          <w:color w:val="000000"/>
          <w:sz w:val="24"/>
          <w:szCs w:val="24"/>
          <w:lang w:eastAsia="fr-FR"/>
        </w:rPr>
        <w:t>récepteurs à activité guanylate cyclase</w:t>
      </w:r>
      <w:r w:rsidRPr="00F02E68">
        <w:rPr>
          <w:rFonts w:asciiTheme="majorBidi" w:eastAsia="Times New Roman" w:hAnsiTheme="majorBidi" w:cstheme="majorBidi"/>
          <w:color w:val="000000"/>
          <w:sz w:val="24"/>
          <w:szCs w:val="24"/>
          <w:lang w:eastAsia="fr-FR"/>
        </w:rPr>
        <w:t> sont les récepteurs des </w:t>
      </w:r>
      <w:r w:rsidRPr="00F02E68">
        <w:rPr>
          <w:rFonts w:asciiTheme="majorBidi" w:eastAsia="Times New Roman" w:hAnsiTheme="majorBidi" w:cstheme="majorBidi"/>
          <w:b/>
          <w:bCs/>
          <w:color w:val="000000"/>
          <w:sz w:val="24"/>
          <w:szCs w:val="24"/>
          <w:lang w:eastAsia="fr-FR"/>
        </w:rPr>
        <w:t>peptides natriurétiques</w:t>
      </w:r>
      <w:r w:rsidRPr="00F02E68">
        <w:rPr>
          <w:rFonts w:asciiTheme="majorBidi" w:eastAsia="Times New Roman" w:hAnsiTheme="majorBidi" w:cstheme="majorBidi"/>
          <w:color w:val="000000"/>
          <w:sz w:val="24"/>
          <w:szCs w:val="24"/>
          <w:lang w:eastAsia="fr-FR"/>
        </w:rPr>
        <w:t>. Il s'agit d'un homo-dimère transmembranaire. L'activation de la guanylate cyclase en intracellulaire par la fixation du peptide en extracellulaire induit la synthèse d'un second messager, le </w:t>
      </w:r>
      <w:r w:rsidRPr="00F02E68">
        <w:rPr>
          <w:rFonts w:asciiTheme="majorBidi" w:eastAsia="Times New Roman" w:hAnsiTheme="majorBidi" w:cstheme="majorBidi"/>
          <w:b/>
          <w:bCs/>
          <w:color w:val="000000"/>
          <w:sz w:val="24"/>
          <w:szCs w:val="24"/>
          <w:lang w:eastAsia="fr-FR"/>
        </w:rPr>
        <w:t>GMP cyclique</w:t>
      </w:r>
      <w:r w:rsidRPr="00F02E68">
        <w:rPr>
          <w:rFonts w:asciiTheme="majorBidi" w:eastAsia="Times New Roman" w:hAnsiTheme="majorBidi" w:cstheme="majorBidi"/>
          <w:color w:val="000000"/>
          <w:sz w:val="24"/>
          <w:szCs w:val="24"/>
          <w:lang w:eastAsia="fr-FR"/>
        </w:rPr>
        <w:t> (guanosine-3',5'-monophosphate) à partir de </w:t>
      </w:r>
      <w:r w:rsidRPr="00F02E68">
        <w:rPr>
          <w:rFonts w:asciiTheme="majorBidi" w:eastAsia="Times New Roman" w:hAnsiTheme="majorBidi" w:cstheme="majorBidi"/>
          <w:b/>
          <w:bCs/>
          <w:color w:val="000000"/>
          <w:sz w:val="24"/>
          <w:szCs w:val="24"/>
          <w:lang w:eastAsia="fr-FR"/>
        </w:rPr>
        <w:t>GTP</w:t>
      </w:r>
      <w:r w:rsidRPr="00F02E68">
        <w:rPr>
          <w:rFonts w:asciiTheme="majorBidi" w:eastAsia="Times New Roman" w:hAnsiTheme="majorBidi" w:cstheme="majorBidi"/>
          <w:color w:val="000000"/>
          <w:sz w:val="24"/>
          <w:szCs w:val="24"/>
          <w:lang w:eastAsia="fr-FR"/>
        </w:rPr>
        <w:t>.</w:t>
      </w:r>
    </w:p>
    <w:p w14:paraId="527825E2" w14:textId="7B76CEFF" w:rsidR="00906940" w:rsidRPr="00F02E68" w:rsidRDefault="00493A17" w:rsidP="007F17A8">
      <w:pPr>
        <w:spacing w:before="360" w:after="240" w:line="240" w:lineRule="auto"/>
        <w:jc w:val="both"/>
        <w:outlineLvl w:val="3"/>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1</w:t>
      </w:r>
      <w:r w:rsidR="00906940" w:rsidRPr="00F02E68">
        <w:rPr>
          <w:rFonts w:asciiTheme="majorBidi" w:eastAsia="Times New Roman" w:hAnsiTheme="majorBidi" w:cstheme="majorBidi"/>
          <w:b/>
          <w:bCs/>
          <w:color w:val="000000"/>
          <w:sz w:val="24"/>
          <w:szCs w:val="24"/>
          <w:lang w:eastAsia="fr-FR"/>
        </w:rPr>
        <w:t>.1.3. Les récepteurs couplés à des effecteurs distincts</w:t>
      </w:r>
    </w:p>
    <w:p w14:paraId="665239DF"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Ils n'exercent que la fonction de réception du signal et vont nécessiter l'action d'autres protéines pour la transduction du signal.</w:t>
      </w:r>
    </w:p>
    <w:p w14:paraId="7B8319FE" w14:textId="6F34E555" w:rsidR="00906940" w:rsidRPr="00F02E68" w:rsidRDefault="00493A17" w:rsidP="007F17A8">
      <w:pPr>
        <w:spacing w:before="100" w:beforeAutospacing="1" w:after="100" w:afterAutospacing="1" w:line="240" w:lineRule="auto"/>
        <w:jc w:val="both"/>
        <w:outlineLvl w:val="4"/>
        <w:rPr>
          <w:rFonts w:asciiTheme="majorBidi" w:eastAsia="Times New Roman" w:hAnsiTheme="majorBidi" w:cstheme="majorBidi"/>
          <w:b/>
          <w:bCs/>
          <w:color w:val="000000"/>
          <w:sz w:val="20"/>
          <w:szCs w:val="20"/>
          <w:lang w:eastAsia="fr-FR"/>
        </w:rPr>
      </w:pPr>
      <w:r>
        <w:rPr>
          <w:rFonts w:asciiTheme="majorBidi" w:eastAsia="Times New Roman" w:hAnsiTheme="majorBidi" w:cstheme="majorBidi"/>
          <w:b/>
          <w:bCs/>
          <w:color w:val="000000"/>
          <w:sz w:val="20"/>
          <w:szCs w:val="20"/>
          <w:lang w:eastAsia="fr-FR"/>
        </w:rPr>
        <w:t>*</w:t>
      </w:r>
      <w:r w:rsidR="00906940" w:rsidRPr="00F02E68">
        <w:rPr>
          <w:rFonts w:asciiTheme="majorBidi" w:eastAsia="Times New Roman" w:hAnsiTheme="majorBidi" w:cstheme="majorBidi"/>
          <w:b/>
          <w:bCs/>
          <w:color w:val="000000"/>
          <w:sz w:val="20"/>
          <w:szCs w:val="20"/>
          <w:lang w:eastAsia="fr-FR"/>
        </w:rPr>
        <w:t xml:space="preserve"> Récepteurs couplés à des protéines G</w:t>
      </w:r>
    </w:p>
    <w:p w14:paraId="6F891A62"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Ils correspondent à des liaisons indirectes récepteur-lien-enzyme et sont également nommés </w:t>
      </w:r>
      <w:r w:rsidRPr="00F02E68">
        <w:rPr>
          <w:rFonts w:asciiTheme="majorBidi" w:eastAsia="Times New Roman" w:hAnsiTheme="majorBidi" w:cstheme="majorBidi"/>
          <w:b/>
          <w:bCs/>
          <w:color w:val="000000"/>
          <w:sz w:val="24"/>
          <w:szCs w:val="24"/>
          <w:lang w:eastAsia="fr-FR"/>
        </w:rPr>
        <w:t>récepteurs serpentins</w:t>
      </w:r>
      <w:r w:rsidRPr="00F02E68">
        <w:rPr>
          <w:rFonts w:asciiTheme="majorBidi" w:eastAsia="Times New Roman" w:hAnsiTheme="majorBidi" w:cstheme="majorBidi"/>
          <w:color w:val="000000"/>
          <w:sz w:val="24"/>
          <w:szCs w:val="24"/>
          <w:lang w:eastAsia="fr-FR"/>
        </w:rPr>
        <w:t>.</w:t>
      </w:r>
      <w:r w:rsidRPr="00F02E68">
        <w:rPr>
          <w:rFonts w:asciiTheme="majorBidi" w:eastAsia="Times New Roman" w:hAnsiTheme="majorBidi" w:cstheme="majorBidi"/>
          <w:color w:val="000000"/>
          <w:sz w:val="24"/>
          <w:szCs w:val="24"/>
          <w:lang w:eastAsia="fr-FR"/>
        </w:rPr>
        <w:br/>
        <w:t>C'est une protéine G, molécule de couplage, qui va faire ce lien entre le récepteur et la protéine effectrice. On distingue deux protéines effectrices principales : l'</w:t>
      </w:r>
      <w:r w:rsidRPr="00F02E68">
        <w:rPr>
          <w:rFonts w:asciiTheme="majorBidi" w:eastAsia="Times New Roman" w:hAnsiTheme="majorBidi" w:cstheme="majorBidi"/>
          <w:b/>
          <w:bCs/>
          <w:color w:val="000000"/>
          <w:sz w:val="24"/>
          <w:szCs w:val="24"/>
          <w:lang w:eastAsia="fr-FR"/>
        </w:rPr>
        <w:t>adénylate kinase</w:t>
      </w:r>
      <w:r w:rsidRPr="00F02E68">
        <w:rPr>
          <w:rFonts w:asciiTheme="majorBidi" w:eastAsia="Times New Roman" w:hAnsiTheme="majorBidi" w:cstheme="majorBidi"/>
          <w:color w:val="000000"/>
          <w:sz w:val="24"/>
          <w:szCs w:val="24"/>
          <w:lang w:eastAsia="fr-FR"/>
        </w:rPr>
        <w:t> et la </w:t>
      </w:r>
      <w:r w:rsidRPr="00F02E68">
        <w:rPr>
          <w:rFonts w:asciiTheme="majorBidi" w:eastAsia="Times New Roman" w:hAnsiTheme="majorBidi" w:cstheme="majorBidi"/>
          <w:b/>
          <w:bCs/>
          <w:color w:val="000000"/>
          <w:sz w:val="24"/>
          <w:szCs w:val="24"/>
          <w:lang w:eastAsia="fr-FR"/>
        </w:rPr>
        <w:t>phospholipase C</w:t>
      </w:r>
      <w:r w:rsidRPr="00F02E68">
        <w:rPr>
          <w:rFonts w:asciiTheme="majorBidi" w:eastAsia="Times New Roman" w:hAnsiTheme="majorBidi" w:cstheme="majorBidi"/>
          <w:color w:val="000000"/>
          <w:sz w:val="24"/>
          <w:szCs w:val="24"/>
          <w:lang w:eastAsia="fr-FR"/>
        </w:rPr>
        <w:t>. Ces nombreux récepteurs permettent la transmission de l'information. Ils sont composés de sept segments transmembranaires, région de liaison de la ou les protéines G.</w:t>
      </w:r>
    </w:p>
    <w:p w14:paraId="79C61E34"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Une protéine G est un hétérodimère pouvant fixer du GTP. Elle est constituée de trois sous-unités α, β, γ, α et β étant ancrées à la membrane.</w:t>
      </w:r>
      <w:r w:rsidRPr="00F02E68">
        <w:rPr>
          <w:rFonts w:asciiTheme="majorBidi" w:eastAsia="Times New Roman" w:hAnsiTheme="majorBidi" w:cstheme="majorBidi"/>
          <w:color w:val="000000"/>
          <w:sz w:val="24"/>
          <w:szCs w:val="24"/>
          <w:lang w:eastAsia="fr-FR"/>
        </w:rPr>
        <w:br/>
        <w:t>La sous-unité α posséde une activité GTPasique lente. La protéine G est activée par fixation d'un GTP sur sa sous-unité α (Gα-GTP) et s'inactive par hydrolyse du GTP en GDP (Gα-GDP). Quand il y a fixation de la molécule informative le changement de conformation spatiale se transmet à la sous-unité Gα.</w:t>
      </w:r>
      <w:r w:rsidRPr="00F02E68">
        <w:rPr>
          <w:rFonts w:asciiTheme="majorBidi" w:eastAsia="Times New Roman" w:hAnsiTheme="majorBidi" w:cstheme="majorBidi"/>
          <w:color w:val="000000"/>
          <w:sz w:val="24"/>
          <w:szCs w:val="24"/>
          <w:lang w:eastAsia="fr-FR"/>
        </w:rPr>
        <w:br/>
        <w:t>Celle-ci échange GDP contre GTP et simultanément elle se dissocie du dimère Gβγ. Elle va alors activer la protéine enzymatique effectrice. Après phosphorylation et retour à la forme inactive le complexe hétérodimérique Gα-GDP/Gβγ se reforme, la transduction s'arrête.</w:t>
      </w:r>
      <w:r w:rsidRPr="00F02E68">
        <w:rPr>
          <w:rFonts w:asciiTheme="majorBidi" w:eastAsia="Times New Roman" w:hAnsiTheme="majorBidi" w:cstheme="majorBidi"/>
          <w:color w:val="000000"/>
          <w:sz w:val="24"/>
          <w:szCs w:val="24"/>
          <w:lang w:eastAsia="fr-FR"/>
        </w:rPr>
        <w:br/>
        <w:t>Ils existent plusieurs protéines G. Les Gαs activent l'adénylate cyclase, les Gαi l'inhibent, les Gαq activent la phospholipase C.</w:t>
      </w:r>
    </w:p>
    <w:p w14:paraId="4081B3CA"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L'</w:t>
      </w:r>
      <w:r w:rsidRPr="00F02E68">
        <w:rPr>
          <w:rFonts w:asciiTheme="majorBidi" w:eastAsia="Times New Roman" w:hAnsiTheme="majorBidi" w:cstheme="majorBidi"/>
          <w:b/>
          <w:bCs/>
          <w:color w:val="000000"/>
          <w:sz w:val="24"/>
          <w:szCs w:val="24"/>
          <w:lang w:eastAsia="fr-FR"/>
        </w:rPr>
        <w:t>adénylate cyclase</w:t>
      </w:r>
      <w:r w:rsidRPr="00F02E68">
        <w:rPr>
          <w:rFonts w:asciiTheme="majorBidi" w:eastAsia="Times New Roman" w:hAnsiTheme="majorBidi" w:cstheme="majorBidi"/>
          <w:color w:val="000000"/>
          <w:sz w:val="24"/>
          <w:szCs w:val="24"/>
          <w:lang w:eastAsia="fr-FR"/>
        </w:rPr>
        <w:t> est une protéine intégrale de la membrane à 12 segments transmembranaires. L'activité enzymatique s'effectue sur deux imortants domaines intracellulaires. A partir d'ATP elle synthétise un second messager, l'AMP cyclique. Elle va activer la protéine </w:t>
      </w:r>
      <w:r w:rsidRPr="00F02E68">
        <w:rPr>
          <w:rFonts w:asciiTheme="majorBidi" w:eastAsia="Times New Roman" w:hAnsiTheme="majorBidi" w:cstheme="majorBidi"/>
          <w:b/>
          <w:bCs/>
          <w:color w:val="000000"/>
          <w:sz w:val="24"/>
          <w:szCs w:val="24"/>
          <w:lang w:eastAsia="fr-FR"/>
        </w:rPr>
        <w:t>kinase A</w:t>
      </w:r>
      <w:r w:rsidRPr="00F02E68">
        <w:rPr>
          <w:rFonts w:asciiTheme="majorBidi" w:eastAsia="Times New Roman" w:hAnsiTheme="majorBidi" w:cstheme="majorBidi"/>
          <w:color w:val="000000"/>
          <w:sz w:val="24"/>
          <w:szCs w:val="24"/>
          <w:lang w:eastAsia="fr-FR"/>
        </w:rPr>
        <w:t> qui est également une sérine-thréonine kinase. La PKA phosphorylera des protéines cytosoliques et des protéines nucléaires.</w:t>
      </w:r>
    </w:p>
    <w:p w14:paraId="4ADB32CF"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La </w:t>
      </w:r>
      <w:r w:rsidRPr="00F02E68">
        <w:rPr>
          <w:rFonts w:asciiTheme="majorBidi" w:eastAsia="Times New Roman" w:hAnsiTheme="majorBidi" w:cstheme="majorBidi"/>
          <w:b/>
          <w:bCs/>
          <w:color w:val="000000"/>
          <w:sz w:val="24"/>
          <w:szCs w:val="24"/>
          <w:lang w:eastAsia="fr-FR"/>
        </w:rPr>
        <w:t>phospholipase C</w:t>
      </w:r>
      <w:r w:rsidRPr="00F02E68">
        <w:rPr>
          <w:rFonts w:asciiTheme="majorBidi" w:eastAsia="Times New Roman" w:hAnsiTheme="majorBidi" w:cstheme="majorBidi"/>
          <w:color w:val="000000"/>
          <w:sz w:val="24"/>
          <w:szCs w:val="24"/>
          <w:lang w:eastAsia="fr-FR"/>
        </w:rPr>
        <w:t> est ancrée à la face interne de la membrane. Elle permet l'hydrolyse de la liaison phospodiester du </w:t>
      </w:r>
      <w:r w:rsidRPr="00F02E68">
        <w:rPr>
          <w:rFonts w:asciiTheme="majorBidi" w:eastAsia="Times New Roman" w:hAnsiTheme="majorBidi" w:cstheme="majorBidi"/>
          <w:b/>
          <w:bCs/>
          <w:color w:val="000000"/>
          <w:sz w:val="24"/>
          <w:szCs w:val="24"/>
          <w:lang w:eastAsia="fr-FR"/>
        </w:rPr>
        <w:t>phosphatidylinositol 4,5-bisphosphate</w:t>
      </w:r>
      <w:r w:rsidRPr="00F02E68">
        <w:rPr>
          <w:rFonts w:asciiTheme="majorBidi" w:eastAsia="Times New Roman" w:hAnsiTheme="majorBidi" w:cstheme="majorBidi"/>
          <w:color w:val="000000"/>
          <w:sz w:val="24"/>
          <w:szCs w:val="24"/>
          <w:lang w:eastAsia="fr-FR"/>
        </w:rPr>
        <w:t> (PIP2) produisant deux seconds messagers : l'</w:t>
      </w:r>
      <w:r w:rsidRPr="00F02E68">
        <w:rPr>
          <w:rFonts w:asciiTheme="majorBidi" w:eastAsia="Times New Roman" w:hAnsiTheme="majorBidi" w:cstheme="majorBidi"/>
          <w:b/>
          <w:bCs/>
          <w:color w:val="000000"/>
          <w:sz w:val="24"/>
          <w:szCs w:val="24"/>
          <w:lang w:eastAsia="fr-FR"/>
        </w:rPr>
        <w:t>inositol-1,4,5-triphosphate</w:t>
      </w:r>
      <w:r w:rsidRPr="00F02E68">
        <w:rPr>
          <w:rFonts w:asciiTheme="majorBidi" w:eastAsia="Times New Roman" w:hAnsiTheme="majorBidi" w:cstheme="majorBidi"/>
          <w:color w:val="000000"/>
          <w:sz w:val="24"/>
          <w:szCs w:val="24"/>
          <w:lang w:eastAsia="fr-FR"/>
        </w:rPr>
        <w:t xml:space="preserve"> (IP3) libéré dans le cytosol et le </w:t>
      </w:r>
      <w:r w:rsidRPr="00F02E68">
        <w:rPr>
          <w:rFonts w:asciiTheme="majorBidi" w:eastAsia="Times New Roman" w:hAnsiTheme="majorBidi" w:cstheme="majorBidi"/>
          <w:color w:val="000000"/>
          <w:sz w:val="24"/>
          <w:szCs w:val="24"/>
          <w:lang w:eastAsia="fr-FR"/>
        </w:rPr>
        <w:lastRenderedPageBreak/>
        <w:t>diacylglycérol restant ancré dans la membrane. L'IP3 est responsable de l'activation d'un canal calcique situé sur la membrane du réticulum endoplasmique, induisant la libération de Ca</w:t>
      </w:r>
      <w:r w:rsidRPr="00F02E68">
        <w:rPr>
          <w:rFonts w:asciiTheme="majorBidi" w:eastAsia="Times New Roman" w:hAnsiTheme="majorBidi" w:cstheme="majorBidi"/>
          <w:color w:val="000000"/>
          <w:sz w:val="24"/>
          <w:szCs w:val="24"/>
          <w:vertAlign w:val="superscript"/>
          <w:lang w:eastAsia="fr-FR"/>
        </w:rPr>
        <w:t>2+</w:t>
      </w:r>
      <w:r w:rsidRPr="00F02E68">
        <w:rPr>
          <w:rFonts w:asciiTheme="majorBidi" w:eastAsia="Times New Roman" w:hAnsiTheme="majorBidi" w:cstheme="majorBidi"/>
          <w:color w:val="000000"/>
          <w:sz w:val="24"/>
          <w:szCs w:val="24"/>
          <w:lang w:eastAsia="fr-FR"/>
        </w:rPr>
        <w:t> dans le cytosol. Le </w:t>
      </w:r>
      <w:r w:rsidRPr="00F02E68">
        <w:rPr>
          <w:rFonts w:asciiTheme="majorBidi" w:eastAsia="Times New Roman" w:hAnsiTheme="majorBidi" w:cstheme="majorBidi"/>
          <w:b/>
          <w:bCs/>
          <w:color w:val="000000"/>
          <w:sz w:val="24"/>
          <w:szCs w:val="24"/>
          <w:lang w:eastAsia="fr-FR"/>
        </w:rPr>
        <w:t>diacylglycérol</w:t>
      </w:r>
      <w:r w:rsidRPr="00F02E68">
        <w:rPr>
          <w:rFonts w:asciiTheme="majorBidi" w:eastAsia="Times New Roman" w:hAnsiTheme="majorBidi" w:cstheme="majorBidi"/>
          <w:color w:val="000000"/>
          <w:sz w:val="24"/>
          <w:szCs w:val="24"/>
          <w:lang w:eastAsia="fr-FR"/>
        </w:rPr>
        <w:t> (DAG) active la protéine kinase C PKC, sérine-thréonine aussi nécessitant un apport de Ca</w:t>
      </w:r>
      <w:r w:rsidRPr="00F02E68">
        <w:rPr>
          <w:rFonts w:asciiTheme="majorBidi" w:eastAsia="Times New Roman" w:hAnsiTheme="majorBidi" w:cstheme="majorBidi"/>
          <w:color w:val="000000"/>
          <w:sz w:val="24"/>
          <w:szCs w:val="24"/>
          <w:vertAlign w:val="superscript"/>
          <w:lang w:eastAsia="fr-FR"/>
        </w:rPr>
        <w:t>2+</w:t>
      </w:r>
      <w:r w:rsidRPr="00F02E68">
        <w:rPr>
          <w:rFonts w:asciiTheme="majorBidi" w:eastAsia="Times New Roman" w:hAnsiTheme="majorBidi" w:cstheme="majorBidi"/>
          <w:color w:val="000000"/>
          <w:sz w:val="24"/>
          <w:szCs w:val="24"/>
          <w:lang w:eastAsia="fr-FR"/>
        </w:rPr>
        <w:t> pour s'ancrer à la membrane cellulaire.</w:t>
      </w:r>
    </w:p>
    <w:p w14:paraId="563914A7" w14:textId="77777777"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L'adrénaline par exemple posséde plusieurs récepteurs différents dont les récepteurs α-adrénergiques couplé à une protéine Gαs et β-adrénergiques couplé à une protéine Gαq.</w:t>
      </w:r>
    </w:p>
    <w:p w14:paraId="66DA2242" w14:textId="7C921EA6" w:rsidR="00906940" w:rsidRPr="00F02E68" w:rsidRDefault="00493A17" w:rsidP="007F17A8">
      <w:pPr>
        <w:spacing w:before="100" w:beforeAutospacing="1" w:after="100" w:afterAutospacing="1" w:line="240" w:lineRule="auto"/>
        <w:jc w:val="both"/>
        <w:outlineLvl w:val="4"/>
        <w:rPr>
          <w:rFonts w:asciiTheme="majorBidi" w:eastAsia="Times New Roman" w:hAnsiTheme="majorBidi" w:cstheme="majorBidi"/>
          <w:b/>
          <w:bCs/>
          <w:color w:val="000000"/>
          <w:sz w:val="20"/>
          <w:szCs w:val="20"/>
          <w:lang w:eastAsia="fr-FR"/>
        </w:rPr>
      </w:pPr>
      <w:r>
        <w:rPr>
          <w:rFonts w:asciiTheme="majorBidi" w:eastAsia="Times New Roman" w:hAnsiTheme="majorBidi" w:cstheme="majorBidi"/>
          <w:b/>
          <w:bCs/>
          <w:color w:val="000000"/>
          <w:sz w:val="20"/>
          <w:szCs w:val="20"/>
          <w:lang w:eastAsia="fr-FR"/>
        </w:rPr>
        <w:t>*</w:t>
      </w:r>
      <w:r w:rsidR="00906940" w:rsidRPr="00F02E68">
        <w:rPr>
          <w:rFonts w:asciiTheme="majorBidi" w:eastAsia="Times New Roman" w:hAnsiTheme="majorBidi" w:cstheme="majorBidi"/>
          <w:b/>
          <w:bCs/>
          <w:color w:val="000000"/>
          <w:sz w:val="20"/>
          <w:szCs w:val="20"/>
          <w:lang w:eastAsia="fr-FR"/>
        </w:rPr>
        <w:t xml:space="preserve"> Récepteurs couplés à des tyrosines kinases</w:t>
      </w:r>
    </w:p>
    <w:p w14:paraId="596124C7" w14:textId="3CEC6F1F" w:rsidR="00906940" w:rsidRPr="00F02E68" w:rsidRDefault="00906940" w:rsidP="007F17A8">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F02E68">
        <w:rPr>
          <w:rFonts w:asciiTheme="majorBidi" w:eastAsia="Times New Roman" w:hAnsiTheme="majorBidi" w:cstheme="majorBidi"/>
          <w:color w:val="000000"/>
          <w:sz w:val="24"/>
          <w:szCs w:val="24"/>
          <w:lang w:eastAsia="fr-FR"/>
        </w:rPr>
        <w:t>Le récepteur est un monomère lié en intracellulaire à une protéine enzymatique à activité tyrosine kinase. Quand la molécule informative se fixe, le récepteur se dimérise et permet alors la phosphorylation croisée des domaines intracellulaires. Le récepteur phosphorylé va alors recruter vers la membrane des protéines substrats pour les phosphoryler à leur tour par la tyrosine kinase. Ces protéines sont des facteurs de transcription.</w:t>
      </w:r>
    </w:p>
    <w:p w14:paraId="556FBD6B" w14:textId="3AC2A4D0" w:rsidR="005207E0" w:rsidRPr="00F02E68" w:rsidRDefault="005207E0" w:rsidP="005207E0">
      <w:pPr>
        <w:rPr>
          <w:rFonts w:asciiTheme="majorBidi" w:eastAsia="Times New Roman" w:hAnsiTheme="majorBidi" w:cstheme="majorBidi"/>
          <w:color w:val="000000"/>
          <w:sz w:val="24"/>
          <w:szCs w:val="24"/>
          <w:lang w:eastAsia="fr-FR"/>
        </w:rPr>
      </w:pPr>
    </w:p>
    <w:p w14:paraId="7B3D3C7F" w14:textId="474B79CC" w:rsidR="00F02E68" w:rsidRPr="00493A17" w:rsidRDefault="00493A17" w:rsidP="00F02E68">
      <w:pPr>
        <w:widowControl w:val="0"/>
        <w:pBdr>
          <w:top w:val="nil"/>
          <w:left w:val="nil"/>
          <w:bottom w:val="nil"/>
          <w:right w:val="nil"/>
          <w:between w:val="nil"/>
        </w:pBdr>
        <w:spacing w:line="240" w:lineRule="auto"/>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1.2.</w:t>
      </w:r>
      <w:r w:rsidR="006E6EC1" w:rsidRPr="00493A17">
        <w:rPr>
          <w:rFonts w:asciiTheme="majorBidi" w:eastAsia="Times New Roman" w:hAnsiTheme="majorBidi" w:cstheme="majorBidi"/>
          <w:b/>
          <w:color w:val="000000" w:themeColor="text1"/>
          <w:sz w:val="24"/>
          <w:szCs w:val="24"/>
        </w:rPr>
        <w:t xml:space="preserve">LES RECEPTEURS NUCLEAIRES </w:t>
      </w:r>
    </w:p>
    <w:p w14:paraId="067667FB" w14:textId="65C7F10C" w:rsidR="006E6EC1" w:rsidRPr="00493A17" w:rsidRDefault="00493A17" w:rsidP="00F02E68">
      <w:pPr>
        <w:widowControl w:val="0"/>
        <w:pBdr>
          <w:top w:val="nil"/>
          <w:left w:val="nil"/>
          <w:bottom w:val="nil"/>
          <w:right w:val="nil"/>
          <w:between w:val="nil"/>
        </w:pBdr>
        <w:spacing w:line="240" w:lineRule="auto"/>
        <w:rPr>
          <w:rFonts w:asciiTheme="majorBidi" w:eastAsia="Times New Roman" w:hAnsiTheme="majorBidi" w:cstheme="majorBidi"/>
          <w:b/>
          <w:color w:val="000000" w:themeColor="text1"/>
          <w:sz w:val="28"/>
          <w:szCs w:val="28"/>
        </w:rPr>
      </w:pPr>
      <w:r>
        <w:rPr>
          <w:rFonts w:asciiTheme="majorBidi" w:eastAsia="Times New Roman" w:hAnsiTheme="majorBidi" w:cstheme="majorBidi"/>
          <w:b/>
          <w:color w:val="000000" w:themeColor="text1"/>
          <w:sz w:val="24"/>
          <w:szCs w:val="24"/>
        </w:rPr>
        <w:t>*</w:t>
      </w:r>
      <w:r w:rsidR="006E6EC1" w:rsidRPr="00493A17">
        <w:rPr>
          <w:rFonts w:asciiTheme="majorBidi" w:eastAsia="Times New Roman" w:hAnsiTheme="majorBidi" w:cstheme="majorBidi"/>
          <w:b/>
          <w:color w:val="000000" w:themeColor="text1"/>
          <w:sz w:val="24"/>
          <w:szCs w:val="24"/>
        </w:rPr>
        <w:t xml:space="preserve">Introduction : </w:t>
      </w:r>
    </w:p>
    <w:p w14:paraId="077FACAD" w14:textId="77777777" w:rsidR="006E6EC1" w:rsidRPr="00F02E68" w:rsidRDefault="006E6EC1" w:rsidP="006E6EC1">
      <w:pPr>
        <w:widowControl w:val="0"/>
        <w:pBdr>
          <w:top w:val="nil"/>
          <w:left w:val="nil"/>
          <w:bottom w:val="nil"/>
          <w:right w:val="nil"/>
          <w:between w:val="nil"/>
        </w:pBdr>
        <w:spacing w:before="195" w:line="229" w:lineRule="auto"/>
        <w:ind w:left="401" w:right="172" w:firstLine="12"/>
        <w:rPr>
          <w:rFonts w:asciiTheme="majorBidi" w:eastAsia="Times New Roman" w:hAnsiTheme="majorBidi" w:cstheme="majorBidi"/>
          <w:sz w:val="24"/>
          <w:szCs w:val="24"/>
          <w:highlight w:val="white"/>
        </w:rPr>
      </w:pPr>
      <w:r w:rsidRPr="00F02E68">
        <w:rPr>
          <w:rFonts w:asciiTheme="majorBidi" w:eastAsia="Times New Roman" w:hAnsiTheme="majorBidi" w:cstheme="majorBidi"/>
          <w:sz w:val="24"/>
          <w:szCs w:val="24"/>
          <w:highlight w:val="white"/>
        </w:rPr>
        <w:t xml:space="preserve">le récepteur est une protéine de la membrane cellulaire ou du cytoplasme ou  du noyau cellulaire qui se lie spécifiquement à un facteur spécifique (un ligand,  tels un neurotransmetteur, une hormone, ou une autre substance), induisant une  réponse cellulaire à ce ligand. Les modifications du comportement du récepteur  protéique induites par le ligand conduisent à des modifications physiologiques qui  constituent les « effets biologiques » du ligand. </w:t>
      </w:r>
    </w:p>
    <w:p w14:paraId="48102DEE" w14:textId="77777777" w:rsidR="006E6EC1" w:rsidRPr="00F02E68" w:rsidRDefault="006E6EC1" w:rsidP="006E6EC1">
      <w:pPr>
        <w:widowControl w:val="0"/>
        <w:pBdr>
          <w:top w:val="nil"/>
          <w:left w:val="nil"/>
          <w:bottom w:val="nil"/>
          <w:right w:val="nil"/>
          <w:between w:val="nil"/>
        </w:pBdr>
        <w:spacing w:before="126" w:line="229" w:lineRule="auto"/>
        <w:ind w:left="412" w:right="261" w:hanging="3"/>
        <w:rPr>
          <w:rFonts w:asciiTheme="majorBidi" w:eastAsia="Times New Roman" w:hAnsiTheme="majorBidi" w:cstheme="majorBidi"/>
          <w:sz w:val="24"/>
          <w:szCs w:val="24"/>
          <w:highlight w:val="white"/>
        </w:rPr>
      </w:pPr>
      <w:r w:rsidRPr="00F02E68">
        <w:rPr>
          <w:rFonts w:asciiTheme="majorBidi" w:eastAsia="Times New Roman" w:hAnsiTheme="majorBidi" w:cstheme="majorBidi"/>
          <w:sz w:val="24"/>
          <w:szCs w:val="24"/>
          <w:highlight w:val="white"/>
        </w:rPr>
        <w:t xml:space="preserve">Comme toutes les protéines, les récepteurs ont leur structure primaire codée par  un gène sur l'ADN. La plupart des gènes codant des hormones comportent une  petite séquence qui indique à la cellule si elles doivent être transportées vers  la membrane cellulaire ou si elles doivent rester dans le cytoplasme. </w:t>
      </w:r>
    </w:p>
    <w:p w14:paraId="2FBEEF6F" w14:textId="72BD3425" w:rsidR="006E6EC1" w:rsidRPr="00493A17" w:rsidRDefault="00493A17" w:rsidP="006E6EC1">
      <w:pPr>
        <w:widowControl w:val="0"/>
        <w:pBdr>
          <w:top w:val="nil"/>
          <w:left w:val="nil"/>
          <w:bottom w:val="nil"/>
          <w:right w:val="nil"/>
          <w:between w:val="nil"/>
        </w:pBdr>
        <w:spacing w:before="601" w:line="240" w:lineRule="auto"/>
        <w:ind w:left="278"/>
        <w:rPr>
          <w:rFonts w:asciiTheme="majorBidi" w:eastAsia="Times New Roman" w:hAnsiTheme="majorBidi" w:cstheme="majorBidi"/>
          <w:b/>
          <w:color w:val="000000" w:themeColor="text1"/>
          <w:sz w:val="24"/>
          <w:szCs w:val="24"/>
        </w:rPr>
      </w:pPr>
      <w:r w:rsidRPr="00493A17">
        <w:rPr>
          <w:rFonts w:asciiTheme="majorBidi" w:eastAsia="Times New Roman" w:hAnsiTheme="majorBidi" w:cstheme="majorBidi"/>
          <w:b/>
          <w:color w:val="000000" w:themeColor="text1"/>
          <w:sz w:val="24"/>
          <w:szCs w:val="24"/>
        </w:rPr>
        <w:t>*</w:t>
      </w:r>
      <w:r w:rsidR="006E6EC1" w:rsidRPr="00493A17">
        <w:rPr>
          <w:rFonts w:asciiTheme="majorBidi" w:eastAsia="Times New Roman" w:hAnsiTheme="majorBidi" w:cstheme="majorBidi"/>
          <w:b/>
          <w:color w:val="000000" w:themeColor="text1"/>
          <w:sz w:val="24"/>
          <w:szCs w:val="24"/>
        </w:rPr>
        <w:t xml:space="preserve">Définition : </w:t>
      </w:r>
    </w:p>
    <w:p w14:paraId="4AF44559" w14:textId="77777777" w:rsidR="006E6EC1" w:rsidRPr="00F02E68" w:rsidRDefault="006E6EC1" w:rsidP="006E6EC1">
      <w:pPr>
        <w:widowControl w:val="0"/>
        <w:pBdr>
          <w:top w:val="nil"/>
          <w:left w:val="nil"/>
          <w:bottom w:val="nil"/>
          <w:right w:val="nil"/>
          <w:between w:val="nil"/>
        </w:pBdr>
        <w:spacing w:before="192" w:line="229" w:lineRule="auto"/>
        <w:ind w:left="408" w:right="119" w:firstLine="8"/>
        <w:rPr>
          <w:rFonts w:asciiTheme="majorBidi" w:eastAsia="Times New Roman" w:hAnsiTheme="majorBidi" w:cstheme="majorBidi"/>
          <w:sz w:val="24"/>
          <w:szCs w:val="24"/>
        </w:rPr>
      </w:pPr>
      <w:r w:rsidRPr="00F02E68">
        <w:rPr>
          <w:rFonts w:asciiTheme="majorBidi" w:eastAsia="Times New Roman" w:hAnsiTheme="majorBidi" w:cstheme="majorBidi"/>
          <w:sz w:val="24"/>
          <w:szCs w:val="24"/>
          <w:highlight w:val="white"/>
        </w:rPr>
        <w:t xml:space="preserve">Les récepteurs nucléaires sont une super-famille de récepteurs biochimiques.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Ce sont des protéines actives dans le noyau des cellules qui, pour nombre d'entre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elles, transmettent à celles-ci des signaux hormonaux spécifiques conduisant à la </w:t>
      </w:r>
      <w:r w:rsidRPr="00F02E68">
        <w:rPr>
          <w:rFonts w:asciiTheme="majorBidi" w:eastAsia="Times New Roman" w:hAnsiTheme="majorBidi" w:cstheme="majorBidi"/>
          <w:sz w:val="24"/>
          <w:szCs w:val="24"/>
        </w:rPr>
        <w:t xml:space="preserve"> modulation de l'expression de gènes cibles. </w:t>
      </w:r>
    </w:p>
    <w:p w14:paraId="181540E0" w14:textId="77777777" w:rsidR="006E6EC1" w:rsidRPr="00F02E68" w:rsidRDefault="006E6EC1" w:rsidP="006E6EC1">
      <w:pPr>
        <w:widowControl w:val="0"/>
        <w:pBdr>
          <w:top w:val="nil"/>
          <w:left w:val="nil"/>
          <w:bottom w:val="nil"/>
          <w:right w:val="nil"/>
          <w:between w:val="nil"/>
        </w:pBdr>
        <w:spacing w:before="126" w:line="229" w:lineRule="auto"/>
        <w:ind w:left="408" w:right="180" w:firstLine="8"/>
        <w:rPr>
          <w:rFonts w:asciiTheme="majorBidi" w:eastAsia="Times New Roman" w:hAnsiTheme="majorBidi" w:cstheme="majorBidi"/>
          <w:sz w:val="24"/>
          <w:szCs w:val="24"/>
        </w:rPr>
      </w:pPr>
      <w:r w:rsidRPr="00F02E68">
        <w:rPr>
          <w:rFonts w:asciiTheme="majorBidi" w:eastAsia="Times New Roman" w:hAnsiTheme="majorBidi" w:cstheme="majorBidi"/>
          <w:sz w:val="24"/>
          <w:szCs w:val="24"/>
          <w:highlight w:val="white"/>
        </w:rPr>
        <w:t xml:space="preserve">Les récepteurs nucléaires sont présents chez tous les métazoaires. La famille est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constituée de 49 membres identifiés à ce jour chez l'homme mais de plus d'une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centaine toutes espèces confondues.</w:t>
      </w:r>
      <w:r w:rsidRPr="00F02E68">
        <w:rPr>
          <w:rFonts w:asciiTheme="majorBidi" w:eastAsia="Times New Roman" w:hAnsiTheme="majorBidi" w:cstheme="majorBidi"/>
          <w:sz w:val="24"/>
          <w:szCs w:val="24"/>
        </w:rPr>
        <w:t xml:space="preserve"> </w:t>
      </w:r>
    </w:p>
    <w:p w14:paraId="0266872D" w14:textId="406801DD" w:rsidR="006E6EC1" w:rsidRPr="00493A17" w:rsidRDefault="00493A17" w:rsidP="006E6EC1">
      <w:pPr>
        <w:widowControl w:val="0"/>
        <w:pBdr>
          <w:top w:val="nil"/>
          <w:left w:val="nil"/>
          <w:bottom w:val="nil"/>
          <w:right w:val="nil"/>
          <w:between w:val="nil"/>
        </w:pBdr>
        <w:spacing w:before="205" w:line="240" w:lineRule="auto"/>
        <w:ind w:left="281"/>
        <w:rPr>
          <w:rFonts w:asciiTheme="majorBidi" w:eastAsia="Times New Roman" w:hAnsiTheme="majorBidi" w:cstheme="majorBidi"/>
          <w:b/>
          <w:color w:val="000000" w:themeColor="text1"/>
          <w:sz w:val="24"/>
          <w:szCs w:val="24"/>
        </w:rPr>
      </w:pPr>
      <w:r w:rsidRPr="00493A17">
        <w:rPr>
          <w:rFonts w:asciiTheme="majorBidi" w:eastAsia="Times New Roman" w:hAnsiTheme="majorBidi" w:cstheme="majorBidi"/>
          <w:b/>
          <w:color w:val="000000" w:themeColor="text1"/>
          <w:sz w:val="24"/>
          <w:szCs w:val="24"/>
        </w:rPr>
        <w:t>*</w:t>
      </w:r>
      <w:r w:rsidR="006E6EC1" w:rsidRPr="00493A17">
        <w:rPr>
          <w:rFonts w:asciiTheme="majorBidi" w:eastAsia="Times New Roman" w:hAnsiTheme="majorBidi" w:cstheme="majorBidi"/>
          <w:b/>
          <w:color w:val="000000" w:themeColor="text1"/>
          <w:sz w:val="24"/>
          <w:szCs w:val="24"/>
        </w:rPr>
        <w:t xml:space="preserve">.Mode d'action des récepteurs nucléaire : </w:t>
      </w:r>
    </w:p>
    <w:p w14:paraId="325C8CDC" w14:textId="77777777" w:rsidR="006E6EC1" w:rsidRPr="00F02E68" w:rsidRDefault="006E6EC1" w:rsidP="006E6EC1">
      <w:pPr>
        <w:widowControl w:val="0"/>
        <w:pBdr>
          <w:top w:val="nil"/>
          <w:left w:val="nil"/>
          <w:bottom w:val="nil"/>
          <w:right w:val="nil"/>
          <w:between w:val="nil"/>
        </w:pBdr>
        <w:spacing w:before="192" w:line="229" w:lineRule="auto"/>
        <w:ind w:left="401" w:right="86" w:firstLine="16"/>
        <w:rPr>
          <w:rFonts w:asciiTheme="majorBidi" w:eastAsia="Times New Roman" w:hAnsiTheme="majorBidi" w:cstheme="majorBidi"/>
        </w:rPr>
      </w:pPr>
      <w:r w:rsidRPr="00F02E68">
        <w:rPr>
          <w:rFonts w:asciiTheme="majorBidi" w:eastAsia="Times New Roman" w:hAnsiTheme="majorBidi" w:cstheme="majorBidi"/>
          <w:sz w:val="24"/>
          <w:szCs w:val="24"/>
          <w:highlight w:val="white"/>
        </w:rPr>
        <w:t xml:space="preserve">De nombreux récepteurs nucléaires fonctionnent avant tout comme des facteurs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de transcription inductibles par un ligand (comme une hormone stéroïde, mais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aussi par exemple certains lipides intracellulaires). Cependant beaucoup n'ont pas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de ligand identifié, ils sont dits récepteurs nucléaires orphelins. De plus, certains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récepteurs nucléaires ont des effets autrement que par leur qualité de facteurs de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transcription. Ils </w:t>
      </w:r>
      <w:r w:rsidRPr="00F02E68">
        <w:rPr>
          <w:rFonts w:asciiTheme="majorBidi" w:eastAsia="Times New Roman" w:hAnsiTheme="majorBidi" w:cstheme="majorBidi"/>
          <w:sz w:val="24"/>
          <w:szCs w:val="24"/>
          <w:highlight w:val="white"/>
        </w:rPr>
        <w:lastRenderedPageBreak/>
        <w:t xml:space="preserve">peuvent par exemple agir sur d'autres voies de signalisation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intracellulaire.</w:t>
      </w:r>
    </w:p>
    <w:p w14:paraId="2394A0A7" w14:textId="77777777" w:rsidR="006E6EC1" w:rsidRPr="00F02E68" w:rsidRDefault="006E6EC1" w:rsidP="006E6EC1">
      <w:pPr>
        <w:widowControl w:val="0"/>
        <w:pBdr>
          <w:top w:val="nil"/>
          <w:left w:val="nil"/>
          <w:bottom w:val="nil"/>
          <w:right w:val="nil"/>
          <w:between w:val="nil"/>
        </w:pBdr>
        <w:rPr>
          <w:rFonts w:asciiTheme="majorBidi" w:eastAsia="Times New Roman" w:hAnsiTheme="majorBidi" w:cstheme="majorBidi"/>
          <w:color w:val="000000"/>
        </w:rPr>
      </w:pPr>
    </w:p>
    <w:p w14:paraId="17E3F126" w14:textId="77777777" w:rsidR="006E6EC1" w:rsidRPr="00F02E68" w:rsidRDefault="006E6EC1" w:rsidP="006E6EC1">
      <w:pPr>
        <w:widowControl w:val="0"/>
        <w:pBdr>
          <w:top w:val="nil"/>
          <w:left w:val="nil"/>
          <w:bottom w:val="nil"/>
          <w:right w:val="nil"/>
          <w:between w:val="nil"/>
        </w:pBdr>
        <w:spacing w:line="240" w:lineRule="auto"/>
        <w:ind w:right="1479"/>
        <w:jc w:val="right"/>
        <w:rPr>
          <w:rFonts w:asciiTheme="majorBidi" w:eastAsia="Times New Roman" w:hAnsiTheme="majorBidi" w:cstheme="majorBidi"/>
          <w:color w:val="000000"/>
        </w:rPr>
      </w:pPr>
      <w:r w:rsidRPr="00F02E68">
        <w:rPr>
          <w:rFonts w:asciiTheme="majorBidi" w:eastAsia="Times New Roman" w:hAnsiTheme="majorBidi" w:cstheme="majorBidi"/>
          <w:noProof/>
          <w:color w:val="000000"/>
        </w:rPr>
        <w:drawing>
          <wp:inline distT="19050" distB="19050" distL="19050" distR="19050" wp14:anchorId="016433F3" wp14:editId="7C298FEB">
            <wp:extent cx="3949700" cy="236969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49700" cy="2369693"/>
                    </a:xfrm>
                    <a:prstGeom prst="rect">
                      <a:avLst/>
                    </a:prstGeom>
                    <a:ln/>
                  </pic:spPr>
                </pic:pic>
              </a:graphicData>
            </a:graphic>
          </wp:inline>
        </w:drawing>
      </w:r>
    </w:p>
    <w:p w14:paraId="1EA7076A" w14:textId="77777777" w:rsidR="006E6EC1" w:rsidRPr="00F02E68" w:rsidRDefault="006E6EC1" w:rsidP="006E6EC1">
      <w:pPr>
        <w:widowControl w:val="0"/>
        <w:pBdr>
          <w:top w:val="nil"/>
          <w:left w:val="nil"/>
          <w:bottom w:val="nil"/>
          <w:right w:val="nil"/>
          <w:between w:val="nil"/>
        </w:pBdr>
        <w:spacing w:line="240" w:lineRule="auto"/>
        <w:jc w:val="center"/>
        <w:rPr>
          <w:rFonts w:asciiTheme="majorBidi" w:eastAsia="Times New Roman" w:hAnsiTheme="majorBidi" w:cstheme="majorBidi"/>
          <w:b/>
          <w:color w:val="222222"/>
        </w:rPr>
      </w:pPr>
      <w:r w:rsidRPr="00F02E68">
        <w:rPr>
          <w:rFonts w:asciiTheme="majorBidi" w:eastAsia="Times New Roman" w:hAnsiTheme="majorBidi" w:cstheme="majorBidi"/>
          <w:b/>
          <w:color w:val="222222"/>
          <w:shd w:val="clear" w:color="auto" w:fill="F8F9FA"/>
        </w:rPr>
        <w:t>Mécanisme d'action général des récepteurs nucléaires</w:t>
      </w:r>
      <w:r w:rsidRPr="00F02E68">
        <w:rPr>
          <w:rFonts w:asciiTheme="majorBidi" w:eastAsia="Times New Roman" w:hAnsiTheme="majorBidi" w:cstheme="majorBidi"/>
          <w:b/>
          <w:color w:val="222222"/>
        </w:rPr>
        <w:t xml:space="preserve"> </w:t>
      </w:r>
    </w:p>
    <w:p w14:paraId="08D4215D" w14:textId="6B885350" w:rsidR="006E6EC1" w:rsidRPr="00F02E68" w:rsidRDefault="00493A17" w:rsidP="006E6EC1">
      <w:pPr>
        <w:widowControl w:val="0"/>
        <w:pBdr>
          <w:top w:val="nil"/>
          <w:left w:val="nil"/>
          <w:bottom w:val="nil"/>
          <w:right w:val="nil"/>
          <w:between w:val="nil"/>
        </w:pBdr>
        <w:spacing w:before="783" w:line="240" w:lineRule="auto"/>
        <w:ind w:left="266"/>
        <w:rPr>
          <w:rFonts w:asciiTheme="majorBidi" w:eastAsia="Times New Roman" w:hAnsiTheme="majorBidi" w:cstheme="majorBidi"/>
          <w:b/>
          <w:color w:val="4F81BD"/>
          <w:sz w:val="24"/>
          <w:szCs w:val="24"/>
        </w:rPr>
      </w:pPr>
      <w:r w:rsidRPr="00493A17">
        <w:rPr>
          <w:rFonts w:asciiTheme="majorBidi" w:eastAsia="Times New Roman" w:hAnsiTheme="majorBidi" w:cstheme="majorBidi"/>
          <w:b/>
          <w:color w:val="000000" w:themeColor="text1"/>
          <w:sz w:val="24"/>
          <w:szCs w:val="24"/>
        </w:rPr>
        <w:t>*</w:t>
      </w:r>
      <w:r w:rsidR="006E6EC1" w:rsidRPr="00493A17">
        <w:rPr>
          <w:rFonts w:asciiTheme="majorBidi" w:eastAsia="Times New Roman" w:hAnsiTheme="majorBidi" w:cstheme="majorBidi"/>
          <w:b/>
          <w:color w:val="000000" w:themeColor="text1"/>
          <w:sz w:val="24"/>
          <w:szCs w:val="24"/>
        </w:rPr>
        <w:t xml:space="preserve">Structure générale des récepteurs nucléaires </w:t>
      </w:r>
      <w:r w:rsidR="006E6EC1" w:rsidRPr="00F02E68">
        <w:rPr>
          <w:rFonts w:asciiTheme="majorBidi" w:eastAsia="Times New Roman" w:hAnsiTheme="majorBidi" w:cstheme="majorBidi"/>
          <w:b/>
          <w:color w:val="4F81BD"/>
          <w:sz w:val="24"/>
          <w:szCs w:val="24"/>
        </w:rPr>
        <w:t xml:space="preserve">: </w:t>
      </w:r>
    </w:p>
    <w:p w14:paraId="4D109492" w14:textId="77777777" w:rsidR="006E6EC1" w:rsidRPr="00F02E68" w:rsidRDefault="006E6EC1" w:rsidP="006E6EC1">
      <w:pPr>
        <w:widowControl w:val="0"/>
        <w:pBdr>
          <w:top w:val="nil"/>
          <w:left w:val="nil"/>
          <w:bottom w:val="nil"/>
          <w:right w:val="nil"/>
          <w:between w:val="nil"/>
        </w:pBdr>
        <w:spacing w:before="175" w:line="229" w:lineRule="auto"/>
        <w:ind w:left="121" w:right="186" w:firstLine="12"/>
        <w:rPr>
          <w:rFonts w:asciiTheme="majorBidi" w:eastAsia="Times New Roman" w:hAnsiTheme="majorBidi" w:cstheme="majorBidi"/>
          <w:sz w:val="24"/>
          <w:szCs w:val="24"/>
        </w:rPr>
      </w:pPr>
      <w:r w:rsidRPr="00F02E68">
        <w:rPr>
          <w:rFonts w:asciiTheme="majorBidi" w:eastAsia="Times New Roman" w:hAnsiTheme="majorBidi" w:cstheme="majorBidi"/>
          <w:sz w:val="24"/>
          <w:szCs w:val="24"/>
          <w:highlight w:val="white"/>
        </w:rPr>
        <w:t xml:space="preserve">Les récepteurs nucléaires sont des protéines dont la taille varie classiquement entre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40 et 100 kilodaltons (kDa). Ils ont été subdivisés arbitrairement en 5 (ou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6) domaines (A, B, C, D, E (F)).</w:t>
      </w:r>
      <w:r w:rsidRPr="00F02E68">
        <w:rPr>
          <w:rFonts w:asciiTheme="majorBidi" w:eastAsia="Times New Roman" w:hAnsiTheme="majorBidi" w:cstheme="majorBidi"/>
          <w:sz w:val="24"/>
          <w:szCs w:val="24"/>
        </w:rPr>
        <w:t xml:space="preserve"> </w:t>
      </w:r>
    </w:p>
    <w:p w14:paraId="10209031" w14:textId="77777777" w:rsidR="006E6EC1" w:rsidRPr="00F02E68" w:rsidRDefault="006E6EC1" w:rsidP="006E6EC1">
      <w:pPr>
        <w:widowControl w:val="0"/>
        <w:pBdr>
          <w:top w:val="nil"/>
          <w:left w:val="nil"/>
          <w:bottom w:val="nil"/>
          <w:right w:val="nil"/>
          <w:between w:val="nil"/>
        </w:pBdr>
        <w:spacing w:before="287" w:line="240" w:lineRule="auto"/>
        <w:ind w:left="149"/>
        <w:rPr>
          <w:rFonts w:asciiTheme="majorBidi" w:eastAsia="Times New Roman" w:hAnsiTheme="majorBidi" w:cstheme="majorBidi"/>
          <w:sz w:val="24"/>
          <w:szCs w:val="24"/>
        </w:rPr>
      </w:pPr>
      <w:r w:rsidRPr="00F02E68">
        <w:rPr>
          <w:rFonts w:asciiTheme="majorBidi" w:eastAsia="Gungsuh" w:hAnsiTheme="majorBidi" w:cstheme="majorBidi"/>
          <w:sz w:val="19"/>
          <w:szCs w:val="19"/>
        </w:rPr>
        <w:t xml:space="preserve">∙ </w:t>
      </w:r>
      <w:r w:rsidRPr="00F02E68">
        <w:rPr>
          <w:rFonts w:asciiTheme="majorBidi" w:eastAsia="Times New Roman" w:hAnsiTheme="majorBidi" w:cstheme="majorBidi"/>
          <w:sz w:val="24"/>
          <w:szCs w:val="24"/>
          <w:highlight w:val="white"/>
        </w:rPr>
        <w:t>A/B : Longueur Variable, Facteur de régulation</w:t>
      </w:r>
      <w:r w:rsidRPr="00F02E68">
        <w:rPr>
          <w:rFonts w:asciiTheme="majorBidi" w:eastAsia="Times New Roman" w:hAnsiTheme="majorBidi" w:cstheme="majorBidi"/>
          <w:sz w:val="24"/>
          <w:szCs w:val="24"/>
        </w:rPr>
        <w:t xml:space="preserve"> </w:t>
      </w:r>
    </w:p>
    <w:p w14:paraId="4C485189" w14:textId="77777777" w:rsidR="006E6EC1" w:rsidRPr="00F02E68" w:rsidRDefault="006E6EC1" w:rsidP="006E6EC1">
      <w:pPr>
        <w:widowControl w:val="0"/>
        <w:pBdr>
          <w:top w:val="nil"/>
          <w:left w:val="nil"/>
          <w:bottom w:val="nil"/>
          <w:right w:val="nil"/>
          <w:between w:val="nil"/>
        </w:pBdr>
        <w:spacing w:before="19" w:line="229" w:lineRule="auto"/>
        <w:ind w:left="515" w:right="1007" w:hanging="365"/>
        <w:rPr>
          <w:rFonts w:asciiTheme="majorBidi" w:eastAsia="Times New Roman" w:hAnsiTheme="majorBidi" w:cstheme="majorBidi"/>
          <w:sz w:val="24"/>
          <w:szCs w:val="24"/>
        </w:rPr>
      </w:pPr>
      <w:r w:rsidRPr="00F02E68">
        <w:rPr>
          <w:rFonts w:asciiTheme="majorBidi" w:eastAsia="Gungsuh" w:hAnsiTheme="majorBidi" w:cstheme="majorBidi"/>
          <w:sz w:val="19"/>
          <w:szCs w:val="19"/>
          <w:highlight w:val="white"/>
        </w:rPr>
        <w:t xml:space="preserve">∙ </w:t>
      </w:r>
      <w:r w:rsidRPr="00F02E68">
        <w:rPr>
          <w:rFonts w:asciiTheme="majorBidi" w:eastAsia="Times New Roman" w:hAnsiTheme="majorBidi" w:cstheme="majorBidi"/>
          <w:sz w:val="24"/>
          <w:szCs w:val="24"/>
          <w:highlight w:val="white"/>
        </w:rPr>
        <w:t xml:space="preserve">C : Domaine en doigt de Zinc, domaine de fixation, sur la séquence HRE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(=Hormone Responsive Element), de l'ADN</w:t>
      </w:r>
      <w:r w:rsidRPr="00F02E68">
        <w:rPr>
          <w:rFonts w:asciiTheme="majorBidi" w:eastAsia="Times New Roman" w:hAnsiTheme="majorBidi" w:cstheme="majorBidi"/>
          <w:sz w:val="24"/>
          <w:szCs w:val="24"/>
        </w:rPr>
        <w:t xml:space="preserve"> </w:t>
      </w:r>
    </w:p>
    <w:p w14:paraId="0D6CD548" w14:textId="77777777" w:rsidR="006E6EC1" w:rsidRPr="00F02E68" w:rsidRDefault="006E6EC1" w:rsidP="006E6EC1">
      <w:pPr>
        <w:widowControl w:val="0"/>
        <w:pBdr>
          <w:top w:val="nil"/>
          <w:left w:val="nil"/>
          <w:bottom w:val="nil"/>
          <w:right w:val="nil"/>
          <w:between w:val="nil"/>
        </w:pBdr>
        <w:spacing w:before="30" w:line="229" w:lineRule="auto"/>
        <w:ind w:left="507" w:right="991" w:hanging="358"/>
        <w:rPr>
          <w:rFonts w:asciiTheme="majorBidi" w:eastAsia="Times New Roman" w:hAnsiTheme="majorBidi" w:cstheme="majorBidi"/>
          <w:sz w:val="24"/>
          <w:szCs w:val="24"/>
        </w:rPr>
      </w:pPr>
      <w:r w:rsidRPr="00F02E68">
        <w:rPr>
          <w:rFonts w:asciiTheme="majorBidi" w:eastAsia="Gungsuh" w:hAnsiTheme="majorBidi" w:cstheme="majorBidi"/>
          <w:sz w:val="19"/>
          <w:szCs w:val="19"/>
          <w:highlight w:val="white"/>
        </w:rPr>
        <w:t xml:space="preserve">∙ </w:t>
      </w:r>
      <w:r w:rsidRPr="00F02E68">
        <w:rPr>
          <w:rFonts w:asciiTheme="majorBidi" w:eastAsia="Times New Roman" w:hAnsiTheme="majorBidi" w:cstheme="majorBidi"/>
          <w:sz w:val="24"/>
          <w:szCs w:val="24"/>
          <w:highlight w:val="white"/>
        </w:rPr>
        <w:t xml:space="preserve">D : Charnière, permet le changement de conformation du récepteur et sa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dimérisation , c'est le plus petit</w:t>
      </w:r>
      <w:r w:rsidRPr="00F02E68">
        <w:rPr>
          <w:rFonts w:asciiTheme="majorBidi" w:eastAsia="Times New Roman" w:hAnsiTheme="majorBidi" w:cstheme="majorBidi"/>
          <w:sz w:val="24"/>
          <w:szCs w:val="24"/>
        </w:rPr>
        <w:t xml:space="preserve"> </w:t>
      </w:r>
    </w:p>
    <w:p w14:paraId="233EDCD6" w14:textId="77777777" w:rsidR="006E6EC1" w:rsidRPr="00F02E68" w:rsidRDefault="006E6EC1" w:rsidP="006E6EC1">
      <w:pPr>
        <w:widowControl w:val="0"/>
        <w:pBdr>
          <w:top w:val="nil"/>
          <w:left w:val="nil"/>
          <w:bottom w:val="nil"/>
          <w:right w:val="nil"/>
          <w:between w:val="nil"/>
        </w:pBdr>
        <w:spacing w:before="30" w:line="240" w:lineRule="auto"/>
        <w:ind w:left="149"/>
        <w:rPr>
          <w:rFonts w:asciiTheme="majorBidi" w:eastAsia="Times New Roman" w:hAnsiTheme="majorBidi" w:cstheme="majorBidi"/>
          <w:sz w:val="24"/>
          <w:szCs w:val="24"/>
        </w:rPr>
      </w:pPr>
      <w:r w:rsidRPr="00F02E68">
        <w:rPr>
          <w:rFonts w:asciiTheme="majorBidi" w:eastAsia="Gungsuh" w:hAnsiTheme="majorBidi" w:cstheme="majorBidi"/>
          <w:sz w:val="19"/>
          <w:szCs w:val="19"/>
        </w:rPr>
        <w:t xml:space="preserve">∙ </w:t>
      </w:r>
      <w:r w:rsidRPr="00F02E68">
        <w:rPr>
          <w:rFonts w:asciiTheme="majorBidi" w:eastAsia="Times New Roman" w:hAnsiTheme="majorBidi" w:cstheme="majorBidi"/>
          <w:sz w:val="24"/>
          <w:szCs w:val="24"/>
          <w:highlight w:val="white"/>
        </w:rPr>
        <w:t>E : Domaine de fixation au ligand (hormone ..)</w:t>
      </w:r>
      <w:r w:rsidRPr="00F02E68">
        <w:rPr>
          <w:rFonts w:asciiTheme="majorBidi" w:eastAsia="Times New Roman" w:hAnsiTheme="majorBidi" w:cstheme="majorBidi"/>
          <w:sz w:val="24"/>
          <w:szCs w:val="24"/>
        </w:rPr>
        <w:t xml:space="preserve"> </w:t>
      </w:r>
    </w:p>
    <w:p w14:paraId="3DAAC1A1" w14:textId="77777777" w:rsidR="006E6EC1" w:rsidRPr="00F02E68" w:rsidRDefault="006E6EC1" w:rsidP="006E6EC1">
      <w:pPr>
        <w:widowControl w:val="0"/>
        <w:pBdr>
          <w:top w:val="nil"/>
          <w:left w:val="nil"/>
          <w:bottom w:val="nil"/>
          <w:right w:val="nil"/>
          <w:between w:val="nil"/>
        </w:pBdr>
        <w:spacing w:before="19" w:line="240" w:lineRule="auto"/>
        <w:ind w:left="149"/>
        <w:rPr>
          <w:rFonts w:asciiTheme="majorBidi" w:eastAsia="Times New Roman" w:hAnsiTheme="majorBidi" w:cstheme="majorBidi"/>
          <w:sz w:val="24"/>
          <w:szCs w:val="24"/>
        </w:rPr>
      </w:pPr>
      <w:r w:rsidRPr="00F02E68">
        <w:rPr>
          <w:rFonts w:asciiTheme="majorBidi" w:eastAsia="Gungsuh" w:hAnsiTheme="majorBidi" w:cstheme="majorBidi"/>
          <w:sz w:val="19"/>
          <w:szCs w:val="19"/>
          <w:highlight w:val="white"/>
        </w:rPr>
        <w:t xml:space="preserve">∙ </w:t>
      </w:r>
      <w:r w:rsidRPr="00F02E68">
        <w:rPr>
          <w:rFonts w:asciiTheme="majorBidi" w:eastAsia="Times New Roman" w:hAnsiTheme="majorBidi" w:cstheme="majorBidi"/>
          <w:sz w:val="24"/>
          <w:szCs w:val="24"/>
          <w:highlight w:val="white"/>
        </w:rPr>
        <w:t>F : Signalisation de localisation nucléaire (SLN)</w:t>
      </w:r>
      <w:r w:rsidRPr="00F02E68">
        <w:rPr>
          <w:rFonts w:asciiTheme="majorBidi" w:eastAsia="Times New Roman" w:hAnsiTheme="majorBidi" w:cstheme="majorBidi"/>
          <w:sz w:val="24"/>
          <w:szCs w:val="24"/>
        </w:rPr>
        <w:t xml:space="preserve"> </w:t>
      </w:r>
    </w:p>
    <w:p w14:paraId="5AD306B1" w14:textId="77777777" w:rsidR="006E6EC1" w:rsidRPr="00F02E68" w:rsidRDefault="006E6EC1" w:rsidP="006E6EC1">
      <w:pPr>
        <w:widowControl w:val="0"/>
        <w:pBdr>
          <w:top w:val="nil"/>
          <w:left w:val="nil"/>
          <w:bottom w:val="nil"/>
          <w:right w:val="nil"/>
          <w:between w:val="nil"/>
        </w:pBdr>
        <w:spacing w:before="115" w:line="229" w:lineRule="auto"/>
        <w:ind w:left="130" w:right="65" w:firstLine="2"/>
        <w:rPr>
          <w:rFonts w:asciiTheme="majorBidi" w:eastAsia="Times New Roman" w:hAnsiTheme="majorBidi" w:cstheme="majorBidi"/>
          <w:sz w:val="24"/>
          <w:szCs w:val="24"/>
        </w:rPr>
      </w:pPr>
      <w:r w:rsidRPr="00F02E68">
        <w:rPr>
          <w:rFonts w:asciiTheme="majorBidi" w:eastAsia="Times New Roman" w:hAnsiTheme="majorBidi" w:cstheme="majorBidi"/>
          <w:sz w:val="24"/>
          <w:szCs w:val="24"/>
          <w:highlight w:val="white"/>
        </w:rPr>
        <w:t xml:space="preserve">Le domaine C, qui est le plus conservé au sein du groupe, est considéré comme la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"signature" de la super-famille des récepteurs nucléaires. Il représente le domaine de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liaison à l'ADN (ou DBD). Le domaine de liaison du ligand (ou LBD), se trouve au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niveau du domaine E pour les ligands identifiés. On trouve également, surtout au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niveau des domaines B et E, des surfaces d'interaction avec des </w:t>
      </w:r>
      <w:r w:rsidRPr="00F02E68">
        <w:rPr>
          <w:rFonts w:asciiTheme="majorBidi" w:eastAsia="Times New Roman" w:hAnsiTheme="majorBidi" w:cstheme="majorBidi"/>
          <w:sz w:val="24"/>
          <w:szCs w:val="24"/>
        </w:rPr>
        <w:t xml:space="preserve"> </w:t>
      </w:r>
    </w:p>
    <w:p w14:paraId="6CB49FE5" w14:textId="77777777" w:rsidR="006E6EC1" w:rsidRPr="00F02E68" w:rsidRDefault="006E6EC1" w:rsidP="006E6EC1">
      <w:pPr>
        <w:widowControl w:val="0"/>
        <w:pBdr>
          <w:top w:val="nil"/>
          <w:left w:val="nil"/>
          <w:bottom w:val="nil"/>
          <w:right w:val="nil"/>
          <w:between w:val="nil"/>
        </w:pBdr>
        <w:spacing w:before="6" w:line="227" w:lineRule="auto"/>
        <w:ind w:left="129" w:right="469" w:firstLine="4"/>
        <w:rPr>
          <w:rFonts w:asciiTheme="majorBidi" w:eastAsia="Times New Roman" w:hAnsiTheme="majorBidi" w:cstheme="majorBidi"/>
          <w:i/>
          <w:sz w:val="24"/>
          <w:szCs w:val="24"/>
          <w:highlight w:val="white"/>
        </w:rPr>
      </w:pPr>
      <w:r w:rsidRPr="00F02E68">
        <w:rPr>
          <w:rFonts w:asciiTheme="majorBidi" w:eastAsia="Times New Roman" w:hAnsiTheme="majorBidi" w:cstheme="majorBidi"/>
          <w:sz w:val="24"/>
          <w:szCs w:val="24"/>
          <w:highlight w:val="white"/>
        </w:rPr>
        <w:t xml:space="preserve">régulateurs transcriptionnels que l'on appelle fonctions de transactivation (ou AFs </w:t>
      </w:r>
      <w:r w:rsidRPr="00F02E68">
        <w:rPr>
          <w:rFonts w:asciiTheme="majorBidi" w:eastAsia="Times New Roman" w:hAnsiTheme="majorBidi" w:cstheme="majorBidi"/>
          <w:sz w:val="24"/>
          <w:szCs w:val="24"/>
        </w:rPr>
        <w:t xml:space="preserve"> </w:t>
      </w:r>
      <w:r w:rsidRPr="00F02E68">
        <w:rPr>
          <w:rFonts w:asciiTheme="majorBidi" w:eastAsia="Times New Roman" w:hAnsiTheme="majorBidi" w:cstheme="majorBidi"/>
          <w:sz w:val="24"/>
          <w:szCs w:val="24"/>
          <w:highlight w:val="white"/>
        </w:rPr>
        <w:t xml:space="preserve">pour </w:t>
      </w:r>
      <w:r w:rsidRPr="00F02E68">
        <w:rPr>
          <w:rFonts w:asciiTheme="majorBidi" w:eastAsia="Times New Roman" w:hAnsiTheme="majorBidi" w:cstheme="majorBidi"/>
          <w:iCs/>
          <w:sz w:val="24"/>
          <w:szCs w:val="24"/>
          <w:highlight w:val="white"/>
        </w:rPr>
        <w:t>activation functions</w:t>
      </w:r>
      <w:r w:rsidRPr="00F02E68">
        <w:rPr>
          <w:rFonts w:asciiTheme="majorBidi" w:eastAsia="Times New Roman" w:hAnsiTheme="majorBidi" w:cstheme="majorBidi"/>
          <w:i/>
          <w:sz w:val="24"/>
          <w:szCs w:val="24"/>
          <w:highlight w:val="white"/>
        </w:rPr>
        <w:t>')</w:t>
      </w:r>
    </w:p>
    <w:p w14:paraId="68670E19" w14:textId="77777777" w:rsidR="006E6EC1" w:rsidRPr="00F02E68" w:rsidRDefault="006E6EC1" w:rsidP="006E6EC1">
      <w:pPr>
        <w:widowControl w:val="0"/>
        <w:pBdr>
          <w:top w:val="nil"/>
          <w:left w:val="nil"/>
          <w:bottom w:val="nil"/>
          <w:right w:val="nil"/>
          <w:between w:val="nil"/>
        </w:pBdr>
        <w:spacing w:before="2550" w:line="240" w:lineRule="auto"/>
        <w:jc w:val="center"/>
        <w:rPr>
          <w:rFonts w:asciiTheme="majorBidi" w:eastAsia="Times New Roman" w:hAnsiTheme="majorBidi" w:cstheme="majorBidi"/>
          <w:color w:val="000000"/>
        </w:rPr>
      </w:pPr>
    </w:p>
    <w:p w14:paraId="5494C34D" w14:textId="77777777" w:rsidR="006E6EC1" w:rsidRPr="00F02E68" w:rsidRDefault="006E6EC1" w:rsidP="006E6EC1">
      <w:pPr>
        <w:widowControl w:val="0"/>
        <w:pBdr>
          <w:top w:val="nil"/>
          <w:left w:val="nil"/>
          <w:bottom w:val="nil"/>
          <w:right w:val="nil"/>
          <w:between w:val="nil"/>
        </w:pBdr>
        <w:spacing w:line="240" w:lineRule="auto"/>
        <w:ind w:left="823"/>
        <w:rPr>
          <w:rFonts w:asciiTheme="majorBidi" w:eastAsia="Times New Roman" w:hAnsiTheme="majorBidi" w:cstheme="majorBidi"/>
          <w:color w:val="000000"/>
        </w:rPr>
      </w:pPr>
      <w:r w:rsidRPr="00F02E68">
        <w:rPr>
          <w:rFonts w:asciiTheme="majorBidi" w:eastAsia="Times New Roman" w:hAnsiTheme="majorBidi" w:cstheme="majorBidi"/>
          <w:noProof/>
          <w:color w:val="000000"/>
        </w:rPr>
        <w:drawing>
          <wp:inline distT="19050" distB="19050" distL="19050" distR="19050" wp14:anchorId="618335BD" wp14:editId="01B17359">
            <wp:extent cx="4205986" cy="315404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205986" cy="3154046"/>
                    </a:xfrm>
                    <a:prstGeom prst="rect">
                      <a:avLst/>
                    </a:prstGeom>
                    <a:ln/>
                  </pic:spPr>
                </pic:pic>
              </a:graphicData>
            </a:graphic>
          </wp:inline>
        </w:drawing>
      </w:r>
    </w:p>
    <w:p w14:paraId="6A15423A" w14:textId="77777777" w:rsidR="006E6EC1" w:rsidRPr="00F02E68" w:rsidRDefault="006E6EC1" w:rsidP="006E6EC1">
      <w:pPr>
        <w:widowControl w:val="0"/>
        <w:pBdr>
          <w:top w:val="nil"/>
          <w:left w:val="nil"/>
          <w:bottom w:val="nil"/>
          <w:right w:val="nil"/>
          <w:between w:val="nil"/>
        </w:pBdr>
        <w:spacing w:line="240" w:lineRule="auto"/>
        <w:jc w:val="center"/>
        <w:rPr>
          <w:rFonts w:asciiTheme="majorBidi" w:eastAsia="Times New Roman" w:hAnsiTheme="majorBidi" w:cstheme="majorBidi"/>
          <w:color w:val="222222"/>
        </w:rPr>
      </w:pPr>
      <w:r w:rsidRPr="00F02E68">
        <w:rPr>
          <w:rFonts w:asciiTheme="majorBidi" w:eastAsia="Times New Roman" w:hAnsiTheme="majorBidi" w:cstheme="majorBidi"/>
          <w:color w:val="222222"/>
          <w:shd w:val="clear" w:color="auto" w:fill="F8F9FA"/>
        </w:rPr>
        <w:t>Structure protéique des récepteurs nucléaires</w:t>
      </w:r>
      <w:r w:rsidRPr="00F02E68">
        <w:rPr>
          <w:rFonts w:asciiTheme="majorBidi" w:eastAsia="Times New Roman" w:hAnsiTheme="majorBidi" w:cstheme="majorBidi"/>
          <w:color w:val="222222"/>
        </w:rPr>
        <w:t xml:space="preserve"> </w:t>
      </w:r>
    </w:p>
    <w:p w14:paraId="4C9AA26E" w14:textId="311DB7A3" w:rsidR="006E6EC1" w:rsidRPr="00493A17" w:rsidRDefault="00493A17" w:rsidP="006E6EC1">
      <w:pPr>
        <w:widowControl w:val="0"/>
        <w:pBdr>
          <w:top w:val="nil"/>
          <w:left w:val="nil"/>
          <w:bottom w:val="nil"/>
          <w:right w:val="nil"/>
          <w:between w:val="nil"/>
        </w:pBdr>
        <w:spacing w:before="227" w:line="240" w:lineRule="auto"/>
        <w:ind w:left="865"/>
        <w:rPr>
          <w:rFonts w:asciiTheme="majorBidi" w:eastAsia="Times New Roman" w:hAnsiTheme="majorBidi" w:cstheme="majorBidi"/>
          <w:b/>
          <w:color w:val="000000" w:themeColor="text1"/>
          <w:sz w:val="24"/>
          <w:szCs w:val="24"/>
        </w:rPr>
      </w:pPr>
      <w:r w:rsidRPr="00493A17">
        <w:rPr>
          <w:rFonts w:asciiTheme="majorBidi" w:eastAsia="Times New Roman" w:hAnsiTheme="majorBidi" w:cstheme="majorBidi"/>
          <w:b/>
          <w:color w:val="000000" w:themeColor="text1"/>
          <w:sz w:val="24"/>
          <w:szCs w:val="24"/>
        </w:rPr>
        <w:t>*</w:t>
      </w:r>
      <w:r w:rsidR="006E6EC1" w:rsidRPr="00493A17">
        <w:rPr>
          <w:rFonts w:asciiTheme="majorBidi" w:eastAsia="Times New Roman" w:hAnsiTheme="majorBidi" w:cstheme="majorBidi"/>
          <w:b/>
          <w:color w:val="000000" w:themeColor="text1"/>
          <w:sz w:val="24"/>
          <w:szCs w:val="24"/>
        </w:rPr>
        <w:t xml:space="preserve">les types de récepteurs nucléaires : </w:t>
      </w:r>
    </w:p>
    <w:p w14:paraId="63563D5C" w14:textId="28038225" w:rsidR="006E6EC1" w:rsidRPr="00493A17" w:rsidRDefault="00493A17" w:rsidP="006E6EC1">
      <w:pPr>
        <w:widowControl w:val="0"/>
        <w:pBdr>
          <w:top w:val="nil"/>
          <w:left w:val="nil"/>
          <w:bottom w:val="nil"/>
          <w:right w:val="nil"/>
          <w:between w:val="nil"/>
        </w:pBdr>
        <w:spacing w:before="557" w:line="240" w:lineRule="auto"/>
        <w:ind w:left="142"/>
        <w:rPr>
          <w:rFonts w:asciiTheme="majorBidi" w:eastAsia="Times New Roman" w:hAnsiTheme="majorBidi" w:cstheme="majorBidi"/>
          <w:b/>
          <w:color w:val="000000" w:themeColor="text1"/>
          <w:sz w:val="24"/>
          <w:szCs w:val="24"/>
        </w:rPr>
      </w:pPr>
      <w:r w:rsidRPr="00493A17">
        <w:rPr>
          <w:rFonts w:asciiTheme="majorBidi" w:eastAsia="Times New Roman" w:hAnsiTheme="majorBidi" w:cstheme="majorBidi"/>
          <w:b/>
          <w:color w:val="000000" w:themeColor="text1"/>
          <w:sz w:val="24"/>
          <w:szCs w:val="24"/>
        </w:rPr>
        <w:t>*</w:t>
      </w:r>
      <w:r w:rsidR="006E6EC1" w:rsidRPr="00493A17">
        <w:rPr>
          <w:rFonts w:asciiTheme="majorBidi" w:eastAsia="Times New Roman" w:hAnsiTheme="majorBidi" w:cstheme="majorBidi"/>
          <w:b/>
          <w:color w:val="000000" w:themeColor="text1"/>
          <w:sz w:val="24"/>
          <w:szCs w:val="24"/>
        </w:rPr>
        <w:t xml:space="preserve"> Les récepteurs des hormones stéroïdes  </w:t>
      </w:r>
    </w:p>
    <w:p w14:paraId="7E7CE5BC" w14:textId="77777777" w:rsidR="006E6EC1" w:rsidRPr="00493A17" w:rsidRDefault="006E6EC1" w:rsidP="006E6EC1">
      <w:pPr>
        <w:widowControl w:val="0"/>
        <w:pBdr>
          <w:top w:val="nil"/>
          <w:left w:val="nil"/>
          <w:bottom w:val="nil"/>
          <w:right w:val="nil"/>
          <w:between w:val="nil"/>
        </w:pBdr>
        <w:spacing w:before="65" w:line="240" w:lineRule="auto"/>
        <w:ind w:left="489"/>
        <w:rPr>
          <w:rFonts w:asciiTheme="majorBidi" w:eastAsia="Times New Roman" w:hAnsiTheme="majorBidi" w:cstheme="majorBidi"/>
          <w:b/>
          <w:color w:val="000000" w:themeColor="text1"/>
          <w:sz w:val="24"/>
          <w:szCs w:val="24"/>
        </w:rPr>
      </w:pPr>
      <w:r w:rsidRPr="00493A17">
        <w:rPr>
          <w:rFonts w:asciiTheme="majorBidi" w:eastAsia="Times New Roman" w:hAnsiTheme="majorBidi" w:cstheme="majorBidi"/>
          <w:b/>
          <w:color w:val="000000" w:themeColor="text1"/>
          <w:sz w:val="24"/>
          <w:szCs w:val="24"/>
        </w:rPr>
        <w:t xml:space="preserve">surrénaliennes : </w:t>
      </w:r>
    </w:p>
    <w:p w14:paraId="18864C0B" w14:textId="77777777" w:rsidR="006E6EC1" w:rsidRPr="00F02E68" w:rsidRDefault="006E6EC1" w:rsidP="006E6EC1">
      <w:pPr>
        <w:widowControl w:val="0"/>
        <w:pBdr>
          <w:top w:val="nil"/>
          <w:left w:val="nil"/>
          <w:bottom w:val="nil"/>
          <w:right w:val="nil"/>
          <w:between w:val="nil"/>
        </w:pBdr>
        <w:spacing w:before="67" w:line="240" w:lineRule="auto"/>
        <w:ind w:left="145"/>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MR, GR, AR, ER et PR – MR  </w:t>
      </w:r>
    </w:p>
    <w:p w14:paraId="73200774" w14:textId="77777777" w:rsidR="006E6EC1" w:rsidRPr="00F02E68" w:rsidRDefault="006E6EC1" w:rsidP="006E6EC1">
      <w:pPr>
        <w:widowControl w:val="0"/>
        <w:pBdr>
          <w:top w:val="nil"/>
          <w:left w:val="nil"/>
          <w:bottom w:val="nil"/>
          <w:right w:val="nil"/>
          <w:between w:val="nil"/>
        </w:pBdr>
        <w:spacing w:before="280" w:line="446" w:lineRule="auto"/>
        <w:ind w:left="114" w:right="554"/>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_ </w:t>
      </w:r>
      <w:r w:rsidRPr="00F02E68">
        <w:rPr>
          <w:rFonts w:asciiTheme="majorBidi" w:eastAsia="Times New Roman" w:hAnsiTheme="majorBidi" w:cstheme="majorBidi"/>
          <w:sz w:val="24"/>
          <w:szCs w:val="24"/>
        </w:rPr>
        <w:t>P</w:t>
      </w:r>
      <w:r w:rsidRPr="00F02E68">
        <w:rPr>
          <w:rFonts w:asciiTheme="majorBidi" w:eastAsia="Times New Roman" w:hAnsiTheme="majorBidi" w:cstheme="majorBidi"/>
          <w:color w:val="000000"/>
          <w:sz w:val="24"/>
          <w:szCs w:val="24"/>
        </w:rPr>
        <w:t xml:space="preserve">our les récepteurs aux minéralocorticoïdes dont le ligand endogène est l’aldostérone,  – GR pour les récepteurs aux glucocorticoïdes dont le ligand endogène est le cortisol,       – AR pour les récepteurs aux androgènes, dont le ligand endogène est la testostérone </w:t>
      </w:r>
    </w:p>
    <w:p w14:paraId="2ECAD598" w14:textId="77777777" w:rsidR="006E6EC1" w:rsidRPr="00F02E68" w:rsidRDefault="006E6EC1" w:rsidP="006E6EC1">
      <w:pPr>
        <w:widowControl w:val="0"/>
        <w:pBdr>
          <w:top w:val="nil"/>
          <w:left w:val="nil"/>
          <w:bottom w:val="nil"/>
          <w:right w:val="nil"/>
          <w:between w:val="nil"/>
        </w:pBdr>
        <w:spacing w:before="50" w:line="291" w:lineRule="auto"/>
        <w:ind w:left="119" w:right="494" w:firstLine="49"/>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ER pour les récepteurs aux estrogènes dont le ligand endogène est l’hormone sexuelle  femelle le 17 β-estradiol. </w:t>
      </w:r>
    </w:p>
    <w:p w14:paraId="45F724DF" w14:textId="7746D17D" w:rsidR="006E6EC1" w:rsidRPr="00F02E68" w:rsidRDefault="006E6EC1" w:rsidP="00F02E68">
      <w:pPr>
        <w:widowControl w:val="0"/>
        <w:pBdr>
          <w:top w:val="nil"/>
          <w:left w:val="nil"/>
          <w:bottom w:val="nil"/>
          <w:right w:val="nil"/>
          <w:between w:val="nil"/>
        </w:pBdr>
        <w:spacing w:before="203" w:line="447" w:lineRule="auto"/>
        <w:ind w:left="132" w:right="504" w:firstLine="36"/>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PR pour les récepteurs aux progestagènes dont le ligand endogène est la progestérone . • Hormones stéroïdes dérivées du cholestérol </w:t>
      </w:r>
    </w:p>
    <w:p w14:paraId="354E4AB1" w14:textId="06CA84D6" w:rsidR="006E6EC1" w:rsidRPr="00493A17" w:rsidRDefault="00493A17" w:rsidP="006E6EC1">
      <w:pPr>
        <w:widowControl w:val="0"/>
        <w:pBdr>
          <w:top w:val="nil"/>
          <w:left w:val="nil"/>
          <w:bottom w:val="nil"/>
          <w:right w:val="nil"/>
          <w:between w:val="nil"/>
        </w:pBdr>
        <w:spacing w:before="323" w:line="240" w:lineRule="auto"/>
        <w:ind w:left="134"/>
        <w:rPr>
          <w:rFonts w:asciiTheme="majorBidi" w:eastAsia="Times New Roman" w:hAnsiTheme="majorBidi" w:cstheme="majorBidi"/>
          <w:b/>
          <w:color w:val="000000" w:themeColor="text1"/>
          <w:sz w:val="24"/>
          <w:szCs w:val="24"/>
        </w:rPr>
      </w:pPr>
      <w:r w:rsidRPr="00493A17">
        <w:rPr>
          <w:rFonts w:asciiTheme="majorBidi" w:eastAsia="Times New Roman" w:hAnsiTheme="majorBidi" w:cstheme="majorBidi"/>
          <w:b/>
          <w:color w:val="000000" w:themeColor="text1"/>
          <w:sz w:val="24"/>
          <w:szCs w:val="24"/>
        </w:rPr>
        <w:t>*</w:t>
      </w:r>
      <w:r w:rsidR="006E6EC1" w:rsidRPr="00493A17">
        <w:rPr>
          <w:rFonts w:asciiTheme="majorBidi" w:eastAsia="Times New Roman" w:hAnsiTheme="majorBidi" w:cstheme="majorBidi"/>
          <w:b/>
          <w:color w:val="000000" w:themeColor="text1"/>
          <w:sz w:val="24"/>
          <w:szCs w:val="24"/>
        </w:rPr>
        <w:t xml:space="preserve"> Les récepteurs GR : </w:t>
      </w:r>
    </w:p>
    <w:p w14:paraId="17942D50" w14:textId="77777777" w:rsidR="006E6EC1" w:rsidRPr="00F02E68" w:rsidRDefault="006E6EC1" w:rsidP="006E6EC1">
      <w:pPr>
        <w:widowControl w:val="0"/>
        <w:pBdr>
          <w:top w:val="nil"/>
          <w:left w:val="nil"/>
          <w:bottom w:val="nil"/>
          <w:right w:val="nil"/>
          <w:between w:val="nil"/>
        </w:pBdr>
        <w:spacing w:before="86" w:line="240" w:lineRule="auto"/>
        <w:ind w:left="137"/>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Issus d’un gène unique : GR α et GR β, </w:t>
      </w:r>
    </w:p>
    <w:p w14:paraId="2A9B14B4" w14:textId="77777777" w:rsidR="006E6EC1" w:rsidRPr="00F02E68" w:rsidRDefault="006E6EC1" w:rsidP="006E6EC1">
      <w:pPr>
        <w:widowControl w:val="0"/>
        <w:pBdr>
          <w:top w:val="nil"/>
          <w:left w:val="nil"/>
          <w:bottom w:val="nil"/>
          <w:right w:val="nil"/>
          <w:between w:val="nil"/>
        </w:pBdr>
        <w:spacing w:before="269" w:line="240" w:lineRule="auto"/>
        <w:ind w:left="192"/>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lastRenderedPageBreak/>
        <w:t>• GRα présent dans tous les tissus,</w:t>
      </w:r>
    </w:p>
    <w:p w14:paraId="3E8B8DEF" w14:textId="53CAB71B" w:rsidR="006E6EC1" w:rsidRPr="00F02E68" w:rsidRDefault="00F02E68" w:rsidP="00F02E68">
      <w:pPr>
        <w:widowControl w:val="0"/>
        <w:pBdr>
          <w:top w:val="nil"/>
          <w:left w:val="nil"/>
          <w:bottom w:val="nil"/>
          <w:right w:val="nil"/>
          <w:between w:val="nil"/>
        </w:pBdr>
        <w:spacing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rPr>
        <w:t xml:space="preserve">    </w:t>
      </w:r>
      <w:r w:rsidR="006E6EC1" w:rsidRPr="00F02E68">
        <w:rPr>
          <w:rFonts w:asciiTheme="majorBidi" w:eastAsia="Times New Roman" w:hAnsiTheme="majorBidi" w:cstheme="majorBidi"/>
          <w:color w:val="000000"/>
          <w:sz w:val="24"/>
          <w:szCs w:val="24"/>
        </w:rPr>
        <w:t xml:space="preserve">• Activé par le cortisol : </w:t>
      </w:r>
    </w:p>
    <w:p w14:paraId="0AD0E983" w14:textId="77777777" w:rsidR="006E6EC1" w:rsidRPr="00F02E68" w:rsidRDefault="006E6EC1" w:rsidP="006E6EC1">
      <w:pPr>
        <w:widowControl w:val="0"/>
        <w:pBdr>
          <w:top w:val="nil"/>
          <w:left w:val="nil"/>
          <w:bottom w:val="nil"/>
          <w:right w:val="nil"/>
          <w:between w:val="nil"/>
        </w:pBdr>
        <w:spacing w:before="257" w:line="240" w:lineRule="auto"/>
        <w:ind w:left="169"/>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augmente la synthèse des lipocortines </w:t>
      </w:r>
    </w:p>
    <w:p w14:paraId="0B9AF859" w14:textId="77777777" w:rsidR="006E6EC1" w:rsidRPr="00F02E68" w:rsidRDefault="006E6EC1" w:rsidP="006E6EC1">
      <w:pPr>
        <w:widowControl w:val="0"/>
        <w:pBdr>
          <w:top w:val="nil"/>
          <w:left w:val="nil"/>
          <w:bottom w:val="nil"/>
          <w:right w:val="nil"/>
          <w:between w:val="nil"/>
        </w:pBdr>
        <w:spacing w:before="257" w:line="240" w:lineRule="auto"/>
        <w:ind w:left="169"/>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augmente la synthèse d’enzymes de nombreuses voies métaboliques </w:t>
      </w:r>
    </w:p>
    <w:p w14:paraId="533612D2" w14:textId="77777777" w:rsidR="006E6EC1" w:rsidRPr="00F02E68" w:rsidRDefault="006E6EC1" w:rsidP="006E6EC1">
      <w:pPr>
        <w:widowControl w:val="0"/>
        <w:pBdr>
          <w:top w:val="nil"/>
          <w:left w:val="nil"/>
          <w:bottom w:val="nil"/>
          <w:right w:val="nil"/>
          <w:between w:val="nil"/>
        </w:pBdr>
        <w:spacing w:before="271" w:line="240" w:lineRule="auto"/>
        <w:ind w:left="169"/>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diminue la synthèse de TNF α et de IL-1 </w:t>
      </w:r>
    </w:p>
    <w:p w14:paraId="5C7CEDBC" w14:textId="77777777" w:rsidR="006E6EC1" w:rsidRPr="00F02E68" w:rsidRDefault="006E6EC1" w:rsidP="006E6EC1">
      <w:pPr>
        <w:widowControl w:val="0"/>
        <w:pBdr>
          <w:top w:val="nil"/>
          <w:left w:val="nil"/>
          <w:bottom w:val="nil"/>
          <w:right w:val="nil"/>
          <w:between w:val="nil"/>
        </w:pBdr>
        <w:spacing w:before="255" w:line="240" w:lineRule="auto"/>
        <w:ind w:left="120"/>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 diminue la synthèse des COX et de NO-synthase </w:t>
      </w:r>
    </w:p>
    <w:p w14:paraId="3FB93145" w14:textId="71EA4396" w:rsidR="006E6EC1" w:rsidRPr="00493A17" w:rsidRDefault="00493A17" w:rsidP="006E6EC1">
      <w:pPr>
        <w:widowControl w:val="0"/>
        <w:pBdr>
          <w:top w:val="nil"/>
          <w:left w:val="nil"/>
          <w:bottom w:val="nil"/>
          <w:right w:val="nil"/>
          <w:between w:val="nil"/>
        </w:pBdr>
        <w:spacing w:before="528" w:line="240" w:lineRule="auto"/>
        <w:ind w:left="137"/>
        <w:rPr>
          <w:rFonts w:asciiTheme="majorBidi" w:eastAsia="Times New Roman" w:hAnsiTheme="majorBidi" w:cstheme="majorBidi"/>
          <w:b/>
          <w:color w:val="000000" w:themeColor="text1"/>
          <w:sz w:val="24"/>
          <w:szCs w:val="24"/>
        </w:rPr>
      </w:pPr>
      <w:r w:rsidRPr="00493A17">
        <w:rPr>
          <w:rFonts w:asciiTheme="majorBidi" w:eastAsia="Times New Roman" w:hAnsiTheme="majorBidi" w:cstheme="majorBidi"/>
          <w:b/>
          <w:color w:val="000000" w:themeColor="text1"/>
          <w:sz w:val="24"/>
          <w:szCs w:val="24"/>
        </w:rPr>
        <w:t>*</w:t>
      </w:r>
      <w:r w:rsidR="006E6EC1" w:rsidRPr="00493A17">
        <w:rPr>
          <w:rFonts w:asciiTheme="majorBidi" w:eastAsia="Times New Roman" w:hAnsiTheme="majorBidi" w:cstheme="majorBidi"/>
          <w:b/>
          <w:color w:val="000000" w:themeColor="text1"/>
          <w:sz w:val="24"/>
          <w:szCs w:val="24"/>
        </w:rPr>
        <w:t xml:space="preserve">Les corticoïdes : </w:t>
      </w:r>
    </w:p>
    <w:p w14:paraId="3EA3F417" w14:textId="77777777" w:rsidR="006E6EC1" w:rsidRPr="00F02E68" w:rsidRDefault="006E6EC1" w:rsidP="006E6EC1">
      <w:pPr>
        <w:widowControl w:val="0"/>
        <w:pBdr>
          <w:top w:val="nil"/>
          <w:left w:val="nil"/>
          <w:bottom w:val="nil"/>
          <w:right w:val="nil"/>
          <w:between w:val="nil"/>
        </w:pBdr>
        <w:spacing w:before="86" w:line="240" w:lineRule="auto"/>
        <w:ind w:left="137"/>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Corticoïdes (agonistes des récepteurs GRα) : </w:t>
      </w:r>
    </w:p>
    <w:p w14:paraId="32D7EFE5" w14:textId="77777777" w:rsidR="006E6EC1" w:rsidRPr="00F02E68" w:rsidRDefault="006E6EC1" w:rsidP="006E6EC1">
      <w:pPr>
        <w:widowControl w:val="0"/>
        <w:pBdr>
          <w:top w:val="nil"/>
          <w:left w:val="nil"/>
          <w:bottom w:val="nil"/>
          <w:right w:val="nil"/>
          <w:between w:val="nil"/>
        </w:pBdr>
        <w:spacing w:before="270" w:line="240" w:lineRule="auto"/>
        <w:ind w:left="120"/>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Anti-inflammatoires, </w:t>
      </w:r>
    </w:p>
    <w:p w14:paraId="211B005B" w14:textId="77777777" w:rsidR="006E6EC1" w:rsidRPr="00F02E68" w:rsidRDefault="006E6EC1" w:rsidP="006E6EC1">
      <w:pPr>
        <w:widowControl w:val="0"/>
        <w:pBdr>
          <w:top w:val="nil"/>
          <w:left w:val="nil"/>
          <w:bottom w:val="nil"/>
          <w:right w:val="nil"/>
          <w:between w:val="nil"/>
        </w:pBdr>
        <w:spacing w:before="269" w:line="240" w:lineRule="auto"/>
        <w:ind w:left="175"/>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Nombreuses indications , </w:t>
      </w:r>
    </w:p>
    <w:p w14:paraId="23E96692" w14:textId="77777777" w:rsidR="006E6EC1" w:rsidRPr="00F02E68" w:rsidRDefault="006E6EC1" w:rsidP="006E6EC1">
      <w:pPr>
        <w:widowControl w:val="0"/>
        <w:pBdr>
          <w:top w:val="nil"/>
          <w:left w:val="nil"/>
          <w:bottom w:val="nil"/>
          <w:right w:val="nil"/>
          <w:between w:val="nil"/>
        </w:pBdr>
        <w:spacing w:before="271" w:line="240" w:lineRule="auto"/>
        <w:ind w:left="175"/>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Multiples formes galéniques. </w:t>
      </w:r>
    </w:p>
    <w:p w14:paraId="4C10BBC4" w14:textId="77777777" w:rsidR="006E6EC1" w:rsidRPr="00F02E68" w:rsidRDefault="006E6EC1" w:rsidP="006E6EC1">
      <w:pPr>
        <w:widowControl w:val="0"/>
        <w:pBdr>
          <w:top w:val="nil"/>
          <w:left w:val="nil"/>
          <w:bottom w:val="nil"/>
          <w:right w:val="nil"/>
          <w:between w:val="nil"/>
        </w:pBdr>
        <w:spacing w:before="255" w:line="240" w:lineRule="auto"/>
        <w:ind w:left="137"/>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Glucocorticoïde par voie inhalée, anti-asthmatique. </w:t>
      </w:r>
    </w:p>
    <w:p w14:paraId="3900280B" w14:textId="77777777" w:rsidR="006E6EC1" w:rsidRPr="00F02E68" w:rsidRDefault="006E6EC1" w:rsidP="006E6EC1">
      <w:pPr>
        <w:widowControl w:val="0"/>
        <w:pBdr>
          <w:top w:val="nil"/>
          <w:left w:val="nil"/>
          <w:bottom w:val="nil"/>
          <w:right w:val="nil"/>
          <w:between w:val="nil"/>
        </w:pBdr>
        <w:spacing w:before="255" w:line="281" w:lineRule="auto"/>
        <w:ind w:left="126" w:right="996" w:firstLine="64"/>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Le dipropionate de béclométasone en inhalation exerce un effet antiinflammatoire  essentiellement local sur la muqueuse bronchique. </w:t>
      </w:r>
    </w:p>
    <w:p w14:paraId="560CFFAB" w14:textId="1917133F" w:rsidR="006E6EC1" w:rsidRPr="00F02E68" w:rsidRDefault="00493A17" w:rsidP="006E6EC1">
      <w:pPr>
        <w:widowControl w:val="0"/>
        <w:pBdr>
          <w:top w:val="nil"/>
          <w:left w:val="nil"/>
          <w:bottom w:val="nil"/>
          <w:right w:val="nil"/>
          <w:between w:val="nil"/>
        </w:pBdr>
        <w:spacing w:before="487" w:line="281" w:lineRule="auto"/>
        <w:ind w:left="137" w:right="1373" w:hanging="13"/>
        <w:rPr>
          <w:rFonts w:asciiTheme="majorBidi" w:eastAsia="Times New Roman" w:hAnsiTheme="majorBidi" w:cstheme="majorBidi"/>
          <w:color w:val="000000"/>
          <w:sz w:val="24"/>
          <w:szCs w:val="24"/>
        </w:rPr>
      </w:pPr>
      <w:r w:rsidRPr="00493A17">
        <w:rPr>
          <w:rFonts w:asciiTheme="majorBidi" w:eastAsia="Times New Roman" w:hAnsiTheme="majorBidi" w:cstheme="majorBidi"/>
          <w:b/>
          <w:color w:val="000000" w:themeColor="text1"/>
          <w:sz w:val="24"/>
          <w:szCs w:val="24"/>
        </w:rPr>
        <w:t>*</w:t>
      </w:r>
      <w:r w:rsidR="006E6EC1" w:rsidRPr="00493A17">
        <w:rPr>
          <w:rFonts w:asciiTheme="majorBidi" w:eastAsia="Times New Roman" w:hAnsiTheme="majorBidi" w:cstheme="majorBidi"/>
          <w:b/>
          <w:color w:val="000000" w:themeColor="text1"/>
          <w:sz w:val="24"/>
          <w:szCs w:val="24"/>
        </w:rPr>
        <w:t xml:space="preserve"> Les récepteurs des hormones thyroïdiennes </w:t>
      </w:r>
      <w:r w:rsidR="006E6EC1" w:rsidRPr="00F02E68">
        <w:rPr>
          <w:rFonts w:asciiTheme="majorBidi" w:eastAsia="Times New Roman" w:hAnsiTheme="majorBidi" w:cstheme="majorBidi"/>
          <w:b/>
          <w:color w:val="4472C4" w:themeColor="accent1"/>
          <w:sz w:val="24"/>
          <w:szCs w:val="24"/>
        </w:rPr>
        <w:t>:</w:t>
      </w:r>
      <w:r w:rsidR="006E6EC1" w:rsidRPr="00F02E68">
        <w:rPr>
          <w:rFonts w:asciiTheme="majorBidi" w:eastAsia="Times New Roman" w:hAnsiTheme="majorBidi" w:cstheme="majorBidi"/>
          <w:b/>
          <w:color w:val="4472C4" w:themeColor="accent1"/>
          <w:sz w:val="36"/>
          <w:szCs w:val="36"/>
        </w:rPr>
        <w:t xml:space="preserve"> </w:t>
      </w:r>
      <w:r w:rsidR="006E6EC1" w:rsidRPr="00F02E68">
        <w:rPr>
          <w:rFonts w:asciiTheme="majorBidi" w:eastAsia="Times New Roman" w:hAnsiTheme="majorBidi" w:cstheme="majorBidi"/>
          <w:color w:val="000000"/>
          <w:sz w:val="24"/>
          <w:szCs w:val="24"/>
        </w:rPr>
        <w:t xml:space="preserve">• Issus de deux gènes : TR α et TR β, </w:t>
      </w:r>
    </w:p>
    <w:p w14:paraId="4BB91C83" w14:textId="77777777" w:rsidR="006E6EC1" w:rsidRPr="00F02E68" w:rsidRDefault="006E6EC1" w:rsidP="006E6EC1">
      <w:pPr>
        <w:widowControl w:val="0"/>
        <w:pBdr>
          <w:top w:val="nil"/>
          <w:left w:val="nil"/>
          <w:bottom w:val="nil"/>
          <w:right w:val="nil"/>
          <w:between w:val="nil"/>
        </w:pBdr>
        <w:spacing w:before="173" w:line="240" w:lineRule="auto"/>
        <w:ind w:left="192"/>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Activés par T3 et T4 : mais affinité pour T3 est 10x supérieure, </w:t>
      </w:r>
    </w:p>
    <w:p w14:paraId="17879BD1" w14:textId="77777777" w:rsidR="006E6EC1" w:rsidRPr="00F02E68" w:rsidRDefault="006E6EC1" w:rsidP="006E6EC1">
      <w:pPr>
        <w:widowControl w:val="0"/>
        <w:pBdr>
          <w:top w:val="nil"/>
          <w:left w:val="nil"/>
          <w:bottom w:val="nil"/>
          <w:right w:val="nil"/>
          <w:between w:val="nil"/>
        </w:pBdr>
        <w:spacing w:before="271" w:line="240" w:lineRule="auto"/>
        <w:ind w:left="192"/>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TRα récepteur fœtal, </w:t>
      </w:r>
    </w:p>
    <w:p w14:paraId="48716CAE" w14:textId="77777777" w:rsidR="006E6EC1" w:rsidRPr="00F02E68" w:rsidRDefault="006E6EC1" w:rsidP="006E6EC1">
      <w:pPr>
        <w:widowControl w:val="0"/>
        <w:pBdr>
          <w:top w:val="nil"/>
          <w:left w:val="nil"/>
          <w:bottom w:val="nil"/>
          <w:right w:val="nil"/>
          <w:between w:val="nil"/>
        </w:pBdr>
        <w:spacing w:before="269" w:line="240" w:lineRule="auto"/>
        <w:ind w:left="192"/>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TR β exprimé chez l’adulte (cœur), </w:t>
      </w:r>
    </w:p>
    <w:p w14:paraId="42631B30" w14:textId="77777777" w:rsidR="006E6EC1" w:rsidRPr="00F02E68" w:rsidRDefault="006E6EC1" w:rsidP="006E6EC1">
      <w:pPr>
        <w:widowControl w:val="0"/>
        <w:pBdr>
          <w:top w:val="nil"/>
          <w:left w:val="nil"/>
          <w:bottom w:val="nil"/>
          <w:right w:val="nil"/>
          <w:between w:val="nil"/>
        </w:pBdr>
        <w:spacing w:before="255" w:line="240" w:lineRule="auto"/>
        <w:ind w:left="192"/>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Régule la transcription de gènes des enzymes du métabolisme. </w:t>
      </w:r>
    </w:p>
    <w:p w14:paraId="6F16E151" w14:textId="77777777" w:rsidR="006E6EC1" w:rsidRPr="00F02E68" w:rsidRDefault="006E6EC1" w:rsidP="006E6EC1">
      <w:pPr>
        <w:widowControl w:val="0"/>
        <w:pBdr>
          <w:top w:val="nil"/>
          <w:left w:val="nil"/>
          <w:bottom w:val="nil"/>
          <w:right w:val="nil"/>
          <w:between w:val="nil"/>
        </w:pBdr>
        <w:spacing w:before="257" w:line="240" w:lineRule="auto"/>
        <w:ind w:left="137"/>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Cynomel ® : </w:t>
      </w:r>
    </w:p>
    <w:p w14:paraId="5BCEDB4F" w14:textId="77777777" w:rsidR="006E6EC1" w:rsidRPr="00F02E68" w:rsidRDefault="006E6EC1" w:rsidP="006E6EC1">
      <w:pPr>
        <w:widowControl w:val="0"/>
        <w:pBdr>
          <w:top w:val="nil"/>
          <w:left w:val="nil"/>
          <w:bottom w:val="nil"/>
          <w:right w:val="nil"/>
          <w:between w:val="nil"/>
        </w:pBdr>
        <w:spacing w:before="258" w:line="279" w:lineRule="auto"/>
        <w:ind w:left="130" w:right="155" w:firstLine="38"/>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La liothyronine est la forme synthétique de l'hormone thyroïdienne T 3 naturelle lévogyre  (LT3) : </w:t>
      </w:r>
    </w:p>
    <w:p w14:paraId="29C03B58" w14:textId="77777777" w:rsidR="006E6EC1" w:rsidRPr="00F02E68" w:rsidRDefault="006E6EC1" w:rsidP="006E6EC1">
      <w:pPr>
        <w:widowControl w:val="0"/>
        <w:pBdr>
          <w:top w:val="nil"/>
          <w:left w:val="nil"/>
          <w:bottom w:val="nil"/>
          <w:right w:val="nil"/>
          <w:between w:val="nil"/>
        </w:pBdr>
        <w:spacing w:before="232" w:line="240" w:lineRule="auto"/>
        <w:ind w:left="120"/>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¬élévation du métabolisme basal </w:t>
      </w:r>
    </w:p>
    <w:p w14:paraId="4EB16A0C" w14:textId="77777777" w:rsidR="006E6EC1" w:rsidRPr="00F02E68" w:rsidRDefault="006E6EC1" w:rsidP="006E6EC1">
      <w:pPr>
        <w:widowControl w:val="0"/>
        <w:pBdr>
          <w:top w:val="nil"/>
          <w:left w:val="nil"/>
          <w:bottom w:val="nil"/>
          <w:right w:val="nil"/>
          <w:between w:val="nil"/>
        </w:pBdr>
        <w:spacing w:before="269" w:line="240" w:lineRule="auto"/>
        <w:ind w:left="120"/>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xml:space="preserve">, ¬inhibition de la sécrétion de la TSH. </w:t>
      </w:r>
    </w:p>
    <w:p w14:paraId="073E285A" w14:textId="22DF64EC" w:rsidR="006E6EC1" w:rsidRPr="00F02E68" w:rsidRDefault="006E6EC1" w:rsidP="006E6EC1">
      <w:pPr>
        <w:widowControl w:val="0"/>
        <w:pBdr>
          <w:top w:val="nil"/>
          <w:left w:val="nil"/>
          <w:bottom w:val="nil"/>
          <w:right w:val="nil"/>
          <w:between w:val="nil"/>
        </w:pBdr>
        <w:spacing w:before="255" w:line="281" w:lineRule="auto"/>
        <w:ind w:left="119" w:right="727" w:firstLine="18"/>
        <w:rPr>
          <w:rFonts w:asciiTheme="majorBidi" w:eastAsia="Times New Roman" w:hAnsiTheme="majorBidi" w:cstheme="majorBidi"/>
          <w:color w:val="000000"/>
          <w:sz w:val="24"/>
          <w:szCs w:val="24"/>
        </w:rPr>
      </w:pPr>
      <w:r w:rsidRPr="00F02E68">
        <w:rPr>
          <w:rFonts w:asciiTheme="majorBidi" w:eastAsia="Times New Roman" w:hAnsiTheme="majorBidi" w:cstheme="majorBidi"/>
          <w:color w:val="000000"/>
          <w:sz w:val="24"/>
          <w:szCs w:val="24"/>
        </w:rPr>
        <w:t>• Des signes d'hyperthyroïdie, tels que : tachycardie, insomnie, excitabilité, céphalées,  fièvre, sueurs, amaigrissement rapide, diarrhées</w:t>
      </w:r>
      <w:r w:rsidR="00F02E68">
        <w:rPr>
          <w:rFonts w:asciiTheme="majorBidi" w:eastAsia="Times New Roman" w:hAnsiTheme="majorBidi" w:cstheme="majorBidi"/>
          <w:color w:val="000000"/>
          <w:sz w:val="24"/>
          <w:szCs w:val="24"/>
        </w:rPr>
        <w:t>.</w:t>
      </w:r>
    </w:p>
    <w:sectPr w:rsidR="006E6EC1" w:rsidRPr="00F02E68" w:rsidSect="00F02E68">
      <w:pgSz w:w="11906" w:h="16838"/>
      <w:pgMar w:top="1417" w:right="1417" w:bottom="1417" w:left="1417" w:header="708"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EF80" w14:textId="77777777" w:rsidR="009C6DA7" w:rsidRDefault="009C6DA7" w:rsidP="00F02E68">
      <w:pPr>
        <w:spacing w:after="0" w:line="240" w:lineRule="auto"/>
      </w:pPr>
      <w:r>
        <w:separator/>
      </w:r>
    </w:p>
  </w:endnote>
  <w:endnote w:type="continuationSeparator" w:id="0">
    <w:p w14:paraId="528026CD" w14:textId="77777777" w:rsidR="009C6DA7" w:rsidRDefault="009C6DA7" w:rsidP="00F0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4EDC" w14:textId="77777777" w:rsidR="009C6DA7" w:rsidRDefault="009C6DA7" w:rsidP="00F02E68">
      <w:pPr>
        <w:spacing w:after="0" w:line="240" w:lineRule="auto"/>
      </w:pPr>
      <w:r>
        <w:separator/>
      </w:r>
    </w:p>
  </w:footnote>
  <w:footnote w:type="continuationSeparator" w:id="0">
    <w:p w14:paraId="50342810" w14:textId="77777777" w:rsidR="009C6DA7" w:rsidRDefault="009C6DA7" w:rsidP="00F02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E4B64"/>
    <w:multiLevelType w:val="multilevel"/>
    <w:tmpl w:val="174E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03BAA"/>
    <w:multiLevelType w:val="multilevel"/>
    <w:tmpl w:val="566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9503C"/>
    <w:multiLevelType w:val="multilevel"/>
    <w:tmpl w:val="9BB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B6A11"/>
    <w:multiLevelType w:val="multilevel"/>
    <w:tmpl w:val="B2A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45CA2"/>
    <w:multiLevelType w:val="multilevel"/>
    <w:tmpl w:val="01D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A4"/>
    <w:rsid w:val="001A7FA4"/>
    <w:rsid w:val="002D6830"/>
    <w:rsid w:val="00436CEF"/>
    <w:rsid w:val="004465C0"/>
    <w:rsid w:val="00493A17"/>
    <w:rsid w:val="005207E0"/>
    <w:rsid w:val="006E6EC1"/>
    <w:rsid w:val="007F17A8"/>
    <w:rsid w:val="00823D61"/>
    <w:rsid w:val="00906940"/>
    <w:rsid w:val="009C6DA7"/>
    <w:rsid w:val="00C825CA"/>
    <w:rsid w:val="00F02E68"/>
    <w:rsid w:val="00F05DB0"/>
    <w:rsid w:val="00F611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DFCC"/>
  <w15:chartTrackingRefBased/>
  <w15:docId w15:val="{02F12232-43C7-4082-81C6-D5C6B8A2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94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2E68"/>
    <w:pPr>
      <w:tabs>
        <w:tab w:val="center" w:pos="4536"/>
        <w:tab w:val="right" w:pos="9072"/>
      </w:tabs>
      <w:spacing w:after="0" w:line="240" w:lineRule="auto"/>
    </w:pPr>
  </w:style>
  <w:style w:type="character" w:customStyle="1" w:styleId="En-tteCar">
    <w:name w:val="En-tête Car"/>
    <w:basedOn w:val="Policepardfaut"/>
    <w:link w:val="En-tte"/>
    <w:uiPriority w:val="99"/>
    <w:rsid w:val="00F02E68"/>
  </w:style>
  <w:style w:type="paragraph" w:styleId="Pieddepage">
    <w:name w:val="footer"/>
    <w:basedOn w:val="Normal"/>
    <w:link w:val="PieddepageCar"/>
    <w:uiPriority w:val="99"/>
    <w:unhideWhenUsed/>
    <w:rsid w:val="00F02E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2251</Words>
  <Characters>12381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clic-info</dc:creator>
  <cp:keywords/>
  <dc:description/>
  <cp:lastModifiedBy>clic-info</cp:lastModifiedBy>
  <cp:revision>9</cp:revision>
  <dcterms:created xsi:type="dcterms:W3CDTF">2021-04-16T20:26:00Z</dcterms:created>
  <dcterms:modified xsi:type="dcterms:W3CDTF">2021-05-01T11:58:00Z</dcterms:modified>
</cp:coreProperties>
</file>