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45" w:rsidRDefault="00AB4445" w:rsidP="00AB4445">
      <w:pPr>
        <w:jc w:val="center"/>
        <w:rPr>
          <w:sz w:val="56"/>
          <w:szCs w:val="56"/>
        </w:rPr>
      </w:pPr>
    </w:p>
    <w:p w:rsidR="00AB4445" w:rsidRDefault="00AB4445" w:rsidP="00AB4445">
      <w:pPr>
        <w:jc w:val="center"/>
        <w:rPr>
          <w:sz w:val="56"/>
          <w:szCs w:val="56"/>
        </w:rPr>
      </w:pPr>
    </w:p>
    <w:p w:rsidR="00AB4445" w:rsidRDefault="00AB4445" w:rsidP="00AB4445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Séminaire </w:t>
      </w:r>
    </w:p>
    <w:p w:rsidR="00AB4445" w:rsidRDefault="00AB4445" w:rsidP="00AB4445">
      <w:pPr>
        <w:jc w:val="center"/>
        <w:rPr>
          <w:b/>
          <w:bCs/>
          <w:sz w:val="56"/>
          <w:szCs w:val="56"/>
        </w:rPr>
      </w:pPr>
      <w:r w:rsidRPr="00E57D30">
        <w:rPr>
          <w:b/>
          <w:bCs/>
          <w:sz w:val="56"/>
          <w:szCs w:val="56"/>
        </w:rPr>
        <w:t>HABITAT ET POLITIQUES DE LA VILLE</w:t>
      </w:r>
    </w:p>
    <w:p w:rsidR="00AB4445" w:rsidRDefault="00AB4445"/>
    <w:p w:rsidR="00AB4445" w:rsidRDefault="00AB4445"/>
    <w:p w:rsidR="00AB4445" w:rsidRDefault="00AB4445"/>
    <w:p w:rsidR="00AB4445" w:rsidRDefault="00AB4445"/>
    <w:p w:rsidR="00AB4445" w:rsidRPr="00AB4445" w:rsidRDefault="00AB4445" w:rsidP="00AB4445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AB4445">
        <w:rPr>
          <w:rFonts w:asciiTheme="majorBidi" w:hAnsiTheme="majorBidi" w:cstheme="majorBidi"/>
          <w:b/>
          <w:bCs/>
          <w:sz w:val="56"/>
          <w:szCs w:val="56"/>
        </w:rPr>
        <w:t>Chap5: les acteurs et la chronologie des actions.</w:t>
      </w:r>
    </w:p>
    <w:p w:rsidR="00AB4445" w:rsidRDefault="00AB4445" w:rsidP="00AB444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AB4445" w:rsidRDefault="00AB4445" w:rsidP="00AB444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AB4445" w:rsidRDefault="00AB4445" w:rsidP="00AB444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AB4445" w:rsidRDefault="00AB4445" w:rsidP="00AB4445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AB4445" w:rsidRDefault="00AB4445" w:rsidP="00AB4445">
      <w:pPr>
        <w:spacing w:after="0" w:line="240" w:lineRule="auto"/>
        <w:jc w:val="center"/>
        <w:rPr>
          <w:sz w:val="24"/>
          <w:szCs w:val="24"/>
        </w:rPr>
      </w:pPr>
      <w:r w:rsidRPr="00E57D30">
        <w:rPr>
          <w:sz w:val="24"/>
          <w:szCs w:val="24"/>
        </w:rPr>
        <w:t>Dr BOUFENARA  Khedidja</w:t>
      </w:r>
    </w:p>
    <w:p w:rsidR="00AB4445" w:rsidRPr="00E57D30" w:rsidRDefault="00AB4445" w:rsidP="00AB44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Département d’Architecture/ Faculté Des Sciences de la Terre</w:t>
      </w:r>
    </w:p>
    <w:p w:rsidR="00AB4445" w:rsidRPr="00E57D30" w:rsidRDefault="00AB4445" w:rsidP="00AB4445">
      <w:pPr>
        <w:spacing w:after="0" w:line="240" w:lineRule="auto"/>
        <w:jc w:val="center"/>
        <w:rPr>
          <w:sz w:val="24"/>
          <w:szCs w:val="24"/>
        </w:rPr>
      </w:pPr>
      <w:r w:rsidRPr="00E57D30">
        <w:rPr>
          <w:sz w:val="24"/>
          <w:szCs w:val="24"/>
        </w:rPr>
        <w:t>UBMA</w:t>
      </w:r>
    </w:p>
    <w:p w:rsidR="00AB4445" w:rsidRDefault="00AB4445" w:rsidP="00AB4445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:rsidR="00AB4445" w:rsidRDefault="00AB4445" w:rsidP="00AB4445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lastRenderedPageBreak/>
        <w:t>1.</w:t>
      </w:r>
      <w:r w:rsidRPr="00AB4445">
        <w:rPr>
          <w:rFonts w:asciiTheme="majorBidi" w:hAnsiTheme="majorBidi" w:cstheme="majorBidi"/>
          <w:b/>
          <w:bCs/>
          <w:sz w:val="36"/>
          <w:szCs w:val="36"/>
        </w:rPr>
        <w:t>Quels sont les acteurs de la ville</w:t>
      </w:r>
      <w:r>
        <w:rPr>
          <w:rFonts w:asciiTheme="majorBidi" w:hAnsiTheme="majorBidi" w:cstheme="majorBidi"/>
          <w:b/>
          <w:bCs/>
          <w:sz w:val="36"/>
          <w:szCs w:val="36"/>
        </w:rPr>
        <w:t> ?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b/>
          <w:bCs/>
          <w:sz w:val="32"/>
          <w:szCs w:val="32"/>
        </w:rPr>
        <w:t>1.1.</w:t>
      </w:r>
      <w:r w:rsidR="00302BF5" w:rsidRPr="00AB4445">
        <w:rPr>
          <w:rFonts w:asciiTheme="majorBidi" w:hAnsiTheme="majorBidi" w:cstheme="majorBidi"/>
          <w:b/>
          <w:bCs/>
          <w:sz w:val="32"/>
          <w:szCs w:val="32"/>
        </w:rPr>
        <w:t>L’Etat</w:t>
      </w:r>
      <w:r w:rsidRPr="00AB4445">
        <w:rPr>
          <w:rFonts w:asciiTheme="majorBidi" w:hAnsiTheme="majorBidi" w:cstheme="majorBidi"/>
          <w:sz w:val="32"/>
          <w:szCs w:val="32"/>
        </w:rPr>
        <w:t xml:space="preserve"> qui : </w:t>
      </w:r>
      <w:r w:rsidR="00302BF5" w:rsidRPr="00AB4445">
        <w:rPr>
          <w:rFonts w:asciiTheme="majorBidi" w:hAnsiTheme="majorBidi" w:cstheme="majorBidi"/>
          <w:sz w:val="32"/>
          <w:szCs w:val="32"/>
        </w:rPr>
        <w:t xml:space="preserve"> </w:t>
      </w:r>
    </w:p>
    <w:p w:rsidR="00000000" w:rsidRPr="00AB4445" w:rsidRDefault="00302BF5" w:rsidP="00AB4445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Définit le cadre de la politique de la ville au niveau national</w:t>
      </w:r>
    </w:p>
    <w:p w:rsidR="00000000" w:rsidRPr="00AB4445" w:rsidRDefault="00302BF5" w:rsidP="00AB4445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Identifie les quartiers de la politique de l</w:t>
      </w:r>
      <w:r w:rsidRPr="00AB4445">
        <w:rPr>
          <w:rFonts w:asciiTheme="majorBidi" w:hAnsiTheme="majorBidi" w:cstheme="majorBidi"/>
          <w:sz w:val="32"/>
          <w:szCs w:val="32"/>
        </w:rPr>
        <w:t>a ville</w:t>
      </w:r>
    </w:p>
    <w:p w:rsidR="00000000" w:rsidRPr="00AB4445" w:rsidRDefault="00302BF5" w:rsidP="00AB4445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 xml:space="preserve">Mobilise les politiques publiques nationales et les services déconcentrés de l’Etat (Education nationale, Emploi, etc…). </w:t>
      </w:r>
    </w:p>
    <w:p w:rsidR="00000000" w:rsidRPr="00AB4445" w:rsidRDefault="00302BF5" w:rsidP="00AB4445">
      <w:pPr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Attribue des financements au titre de la politique de la ville et du Programme National de Rénovation Urbaine</w:t>
      </w:r>
    </w:p>
    <w:p w:rsidR="00AB4445" w:rsidRPr="00AB4445" w:rsidRDefault="00AB4445" w:rsidP="00AB4445">
      <w:pPr>
        <w:pStyle w:val="Paragraphedeliste"/>
        <w:numPr>
          <w:ilvl w:val="2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B4445">
        <w:rPr>
          <w:rFonts w:asciiTheme="majorBidi" w:hAnsiTheme="majorBidi" w:cstheme="majorBidi"/>
          <w:b/>
          <w:bCs/>
          <w:sz w:val="32"/>
          <w:szCs w:val="32"/>
        </w:rPr>
        <w:t>Les services locaux de l’Etat.</w:t>
      </w:r>
    </w:p>
    <w:p w:rsidR="00AB4445" w:rsidRPr="00AB4445" w:rsidRDefault="00AB4445" w:rsidP="00AB4445">
      <w:pPr>
        <w:pStyle w:val="Paragraphedeliste"/>
        <w:ind w:left="108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00000" w:rsidRPr="00AB4445" w:rsidRDefault="00302BF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 xml:space="preserve">Les services de l’Etat en charge de la politique de la ville sont représentés par les wilaya ou Préfectures de Région et les différentes Directions Régionales </w:t>
      </w:r>
    </w:p>
    <w:p w:rsidR="00000000" w:rsidRPr="00AB4445" w:rsidRDefault="00302BF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 xml:space="preserve">Des membres du corps wilayale ou préfectoral sont désignés pour le </w:t>
      </w:r>
      <w:r w:rsidRPr="00AB4445">
        <w:rPr>
          <w:rFonts w:asciiTheme="majorBidi" w:hAnsiTheme="majorBidi" w:cstheme="majorBidi"/>
          <w:sz w:val="32"/>
          <w:szCs w:val="32"/>
        </w:rPr>
        <w:t>pilotage et le suivi de la politique de la ville.</w:t>
      </w:r>
    </w:p>
    <w:p w:rsidR="00000000" w:rsidRPr="00AB4445" w:rsidRDefault="00302BF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Il peut s’agir de wali ou Préfets délégués à l’égalité des chances, de chefs de daira ou sous-préfets à la ville ou encore de secrétaire général adjoint.</w:t>
      </w:r>
    </w:p>
    <w:p w:rsidR="00AB4445" w:rsidRPr="00AB4445" w:rsidRDefault="00AB4445" w:rsidP="00AB4445">
      <w:pPr>
        <w:pStyle w:val="Paragraphedeliste"/>
        <w:numPr>
          <w:ilvl w:val="2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B4445">
        <w:rPr>
          <w:rFonts w:asciiTheme="majorBidi" w:hAnsiTheme="majorBidi" w:cstheme="majorBidi"/>
          <w:b/>
          <w:bCs/>
          <w:sz w:val="32"/>
          <w:szCs w:val="32"/>
        </w:rPr>
        <w:t>Les collectivités territoriales.</w:t>
      </w:r>
    </w:p>
    <w:p w:rsidR="00AB4445" w:rsidRPr="00AB4445" w:rsidRDefault="00AB4445" w:rsidP="00AB4445">
      <w:pPr>
        <w:pStyle w:val="Paragraphedeliste"/>
        <w:ind w:left="108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Elles s</w:t>
      </w:r>
      <w:r w:rsidR="00302BF5" w:rsidRPr="00AB4445">
        <w:rPr>
          <w:rFonts w:asciiTheme="majorBidi" w:hAnsiTheme="majorBidi" w:cstheme="majorBidi"/>
          <w:sz w:val="32"/>
          <w:szCs w:val="32"/>
        </w:rPr>
        <w:t>’engagent pour a</w:t>
      </w:r>
      <w:r w:rsidR="00302BF5" w:rsidRPr="00AB4445">
        <w:rPr>
          <w:rFonts w:asciiTheme="majorBidi" w:hAnsiTheme="majorBidi" w:cstheme="majorBidi"/>
          <w:sz w:val="32"/>
          <w:szCs w:val="32"/>
        </w:rPr>
        <w:t xml:space="preserve">méliorer la vie dans les quartiers prioritaires à travers des dispositifs contractuels. 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Elles m</w:t>
      </w:r>
      <w:r w:rsidR="00302BF5" w:rsidRPr="00AB4445">
        <w:rPr>
          <w:rFonts w:asciiTheme="majorBidi" w:hAnsiTheme="majorBidi" w:cstheme="majorBidi"/>
          <w:sz w:val="32"/>
          <w:szCs w:val="32"/>
        </w:rPr>
        <w:t>obilisent les politiques publiques locales sur leurs compétences : emploi, culture, habitat, urbanisme, formation, etc.</w:t>
      </w:r>
    </w:p>
    <w:p w:rsidR="00000000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 w:rsidRPr="00AB4445">
        <w:rPr>
          <w:rFonts w:asciiTheme="majorBidi" w:hAnsiTheme="majorBidi" w:cstheme="majorBidi"/>
          <w:sz w:val="32"/>
          <w:szCs w:val="32"/>
        </w:rPr>
        <w:t>Elles f</w:t>
      </w:r>
      <w:r w:rsidR="00302BF5" w:rsidRPr="00AB4445">
        <w:rPr>
          <w:rFonts w:asciiTheme="majorBidi" w:hAnsiTheme="majorBidi" w:cstheme="majorBidi"/>
          <w:sz w:val="32"/>
          <w:szCs w:val="32"/>
        </w:rPr>
        <w:t>inancent des projets : subventions aux acte</w:t>
      </w:r>
      <w:r w:rsidR="00302BF5" w:rsidRPr="00AB4445">
        <w:rPr>
          <w:rFonts w:asciiTheme="majorBidi" w:hAnsiTheme="majorBidi" w:cstheme="majorBidi"/>
          <w:sz w:val="32"/>
          <w:szCs w:val="32"/>
        </w:rPr>
        <w:t>urs locaux répondant aux appels à projet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AB4445" w:rsidRPr="00AB4445" w:rsidRDefault="00AB4445" w:rsidP="00AB4445">
      <w:pPr>
        <w:pStyle w:val="Paragraphedeliste"/>
        <w:numPr>
          <w:ilvl w:val="2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B4445">
        <w:rPr>
          <w:rFonts w:asciiTheme="majorBidi" w:hAnsiTheme="majorBidi" w:cstheme="majorBidi"/>
          <w:b/>
          <w:bCs/>
          <w:sz w:val="32"/>
          <w:szCs w:val="32"/>
        </w:rPr>
        <w:lastRenderedPageBreak/>
        <w:t>Les acteurs locaux : associations et bailleurs sociaux.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a</w:t>
      </w:r>
      <w:r w:rsidR="00302BF5" w:rsidRPr="00AB4445">
        <w:rPr>
          <w:rFonts w:asciiTheme="majorBidi" w:hAnsiTheme="majorBidi" w:cstheme="majorBidi"/>
          <w:sz w:val="32"/>
          <w:szCs w:val="32"/>
        </w:rPr>
        <w:t>ccompagnent les initiatives des habitants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f</w:t>
      </w:r>
      <w:r w:rsidR="00302BF5" w:rsidRPr="00AB4445">
        <w:rPr>
          <w:rFonts w:asciiTheme="majorBidi" w:hAnsiTheme="majorBidi" w:cstheme="majorBidi"/>
          <w:sz w:val="32"/>
          <w:szCs w:val="32"/>
        </w:rPr>
        <w:t>ont le lien entre habitants et institutions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m</w:t>
      </w:r>
      <w:r w:rsidR="00302BF5" w:rsidRPr="00AB4445">
        <w:rPr>
          <w:rFonts w:asciiTheme="majorBidi" w:hAnsiTheme="majorBidi" w:cstheme="majorBidi"/>
          <w:sz w:val="32"/>
          <w:szCs w:val="32"/>
        </w:rPr>
        <w:t xml:space="preserve">ettent en œuvre des actions répondant aux besoins des habitants. </w:t>
      </w:r>
    </w:p>
    <w:p w:rsidR="00AB4445" w:rsidRPr="00AB4445" w:rsidRDefault="00AB4445" w:rsidP="00AB4445">
      <w:pPr>
        <w:pStyle w:val="Paragraphedeliste"/>
        <w:numPr>
          <w:ilvl w:val="2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B4445">
        <w:rPr>
          <w:rFonts w:asciiTheme="majorBidi" w:hAnsiTheme="majorBidi" w:cstheme="majorBidi"/>
          <w:b/>
          <w:bCs/>
          <w:sz w:val="32"/>
          <w:szCs w:val="32"/>
        </w:rPr>
        <w:t>Les habitants.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l</w:t>
      </w:r>
      <w:r w:rsidR="00302BF5" w:rsidRPr="00AB4445">
        <w:rPr>
          <w:rFonts w:asciiTheme="majorBidi" w:hAnsiTheme="majorBidi" w:cstheme="majorBidi"/>
          <w:sz w:val="32"/>
          <w:szCs w:val="32"/>
        </w:rPr>
        <w:t>ancent des initiatives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s</w:t>
      </w:r>
      <w:r w:rsidR="00302BF5" w:rsidRPr="00AB4445">
        <w:rPr>
          <w:rFonts w:asciiTheme="majorBidi" w:hAnsiTheme="majorBidi" w:cstheme="majorBidi"/>
          <w:sz w:val="32"/>
          <w:szCs w:val="32"/>
        </w:rPr>
        <w:t>’investissent dans des projets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000000" w:rsidRP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Ils s</w:t>
      </w:r>
      <w:r w:rsidR="00302BF5" w:rsidRPr="00AB4445">
        <w:rPr>
          <w:rFonts w:asciiTheme="majorBidi" w:hAnsiTheme="majorBidi" w:cstheme="majorBidi"/>
          <w:sz w:val="32"/>
          <w:szCs w:val="32"/>
        </w:rPr>
        <w:t xml:space="preserve">’expriment sur leurs difficultés et leurs attentes. </w:t>
      </w:r>
    </w:p>
    <w:p w:rsidR="00AB4445" w:rsidRDefault="00AB4445" w:rsidP="00AB4445">
      <w:pPr>
        <w:jc w:val="both"/>
        <w:rPr>
          <w:rFonts w:asciiTheme="majorBidi" w:hAnsiTheme="majorBidi" w:cstheme="majorBidi"/>
          <w:sz w:val="32"/>
          <w:szCs w:val="32"/>
        </w:rPr>
      </w:pPr>
    </w:p>
    <w:p w:rsidR="00AB4445" w:rsidRDefault="00BA3AEF" w:rsidP="00BA3AE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+mj-ea" w:hAnsiTheme="majorBidi" w:cstheme="majorBidi"/>
          <w:b/>
          <w:bCs/>
          <w:color w:val="000000"/>
          <w:kern w:val="24"/>
          <w:sz w:val="32"/>
          <w:szCs w:val="32"/>
        </w:rPr>
        <w:t>L</w:t>
      </w:r>
      <w:r w:rsidRPr="00BA3AEF">
        <w:rPr>
          <w:rFonts w:asciiTheme="majorBidi" w:eastAsia="+mj-ea" w:hAnsiTheme="majorBidi" w:cstheme="majorBidi"/>
          <w:b/>
          <w:bCs/>
          <w:color w:val="000000"/>
          <w:kern w:val="24"/>
          <w:sz w:val="32"/>
          <w:szCs w:val="32"/>
        </w:rPr>
        <w:t>a</w:t>
      </w:r>
      <w:r w:rsidRPr="00BA3AEF">
        <w:rPr>
          <w:rFonts w:ascii="Calibri" w:eastAsia="+mj-ea" w:hAnsi="Calibri" w:cs="+mj-cs"/>
          <w:b/>
          <w:bCs/>
          <w:color w:val="000000"/>
          <w:kern w:val="24"/>
          <w:sz w:val="80"/>
          <w:szCs w:val="80"/>
        </w:rPr>
        <w:t xml:space="preserve"> </w:t>
      </w:r>
      <w:r w:rsidR="00AB4445" w:rsidRPr="00BA3AEF">
        <w:rPr>
          <w:rFonts w:asciiTheme="majorBidi" w:hAnsiTheme="majorBidi" w:cstheme="majorBidi"/>
          <w:b/>
          <w:bCs/>
          <w:sz w:val="32"/>
          <w:szCs w:val="32"/>
        </w:rPr>
        <w:t>Multiplication des bidonvilles</w:t>
      </w:r>
      <w:r w:rsidRPr="00BA3AEF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BA3AEF" w:rsidRPr="00BA3AEF" w:rsidRDefault="00BA3AEF" w:rsidP="00BA3AEF">
      <w:pPr>
        <w:pStyle w:val="Paragraphedeliste"/>
        <w:ind w:left="90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00000" w:rsidRPr="00BA3AEF" w:rsidRDefault="00302BF5" w:rsidP="00BA3AEF">
      <w:pPr>
        <w:jc w:val="both"/>
        <w:rPr>
          <w:rFonts w:asciiTheme="majorBidi" w:hAnsiTheme="majorBidi" w:cstheme="majorBidi"/>
          <w:sz w:val="32"/>
          <w:szCs w:val="32"/>
        </w:rPr>
      </w:pPr>
      <w:r w:rsidRPr="00BA3AEF">
        <w:rPr>
          <w:rFonts w:asciiTheme="majorBidi" w:hAnsiTheme="majorBidi" w:cstheme="majorBidi"/>
          <w:sz w:val="32"/>
          <w:szCs w:val="32"/>
        </w:rPr>
        <w:t>La dérégulation et l’absence de politiques urbaines</w:t>
      </w:r>
      <w:r w:rsidRPr="00BA3AEF">
        <w:rPr>
          <w:rFonts w:asciiTheme="majorBidi" w:hAnsiTheme="majorBidi" w:cstheme="majorBidi"/>
          <w:sz w:val="32"/>
          <w:szCs w:val="32"/>
        </w:rPr>
        <w:t xml:space="preserve"> génèrent parallèlement le </w:t>
      </w:r>
      <w:r w:rsidRPr="00BA3AEF">
        <w:rPr>
          <w:rFonts w:asciiTheme="majorBidi" w:hAnsiTheme="majorBidi" w:cstheme="majorBidi"/>
          <w:sz w:val="32"/>
          <w:szCs w:val="32"/>
        </w:rPr>
        <w:t>développement de f</w:t>
      </w:r>
      <w:r w:rsidRPr="00BA3AEF">
        <w:rPr>
          <w:rFonts w:asciiTheme="majorBidi" w:hAnsiTheme="majorBidi" w:cstheme="majorBidi"/>
          <w:sz w:val="32"/>
          <w:szCs w:val="32"/>
        </w:rPr>
        <w:t xml:space="preserve">ortes </w:t>
      </w:r>
      <w:r w:rsidRPr="00BA3AEF">
        <w:rPr>
          <w:rFonts w:asciiTheme="majorBidi" w:hAnsiTheme="majorBidi" w:cstheme="majorBidi"/>
          <w:sz w:val="32"/>
          <w:szCs w:val="32"/>
        </w:rPr>
        <w:t>inégalités</w:t>
      </w:r>
      <w:r w:rsidRPr="00BA3AEF">
        <w:rPr>
          <w:rFonts w:asciiTheme="majorBidi" w:hAnsiTheme="majorBidi" w:cstheme="majorBidi"/>
          <w:sz w:val="32"/>
          <w:szCs w:val="32"/>
        </w:rPr>
        <w:t xml:space="preserve"> </w:t>
      </w:r>
      <w:r w:rsidRPr="00BA3AEF">
        <w:rPr>
          <w:rFonts w:asciiTheme="majorBidi" w:hAnsiTheme="majorBidi" w:cstheme="majorBidi"/>
          <w:sz w:val="32"/>
          <w:szCs w:val="32"/>
        </w:rPr>
        <w:t>au sein même des villes : autour de</w:t>
      </w:r>
      <w:r w:rsidRPr="00BA3AEF">
        <w:rPr>
          <w:rFonts w:asciiTheme="majorBidi" w:hAnsiTheme="majorBidi" w:cstheme="majorBidi"/>
          <w:sz w:val="32"/>
          <w:szCs w:val="32"/>
        </w:rPr>
        <w:t> </w:t>
      </w:r>
      <w:hyperlink r:id="rId7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FF0000"/>
            <w:sz w:val="32"/>
            <w:szCs w:val="32"/>
            <w:u w:val="none"/>
          </w:rPr>
          <w:t>40 % de la croissance urbaine</w:t>
        </w:r>
      </w:hyperlink>
      <w:r w:rsidRPr="00BA3AEF">
        <w:rPr>
          <w:rFonts w:asciiTheme="majorBidi" w:hAnsiTheme="majorBidi" w:cstheme="majorBidi"/>
          <w:b/>
          <w:bCs/>
          <w:color w:val="FF0000"/>
          <w:sz w:val="32"/>
          <w:szCs w:val="32"/>
        </w:rPr>
        <w:t> </w:t>
      </w:r>
      <w:r w:rsidRPr="00BA3AEF">
        <w:rPr>
          <w:rFonts w:asciiTheme="majorBidi" w:hAnsiTheme="majorBidi" w:cstheme="majorBidi"/>
          <w:sz w:val="32"/>
          <w:szCs w:val="32"/>
        </w:rPr>
        <w:t xml:space="preserve">dans </w:t>
      </w:r>
      <w:r w:rsidRPr="00BA3AEF">
        <w:rPr>
          <w:rFonts w:asciiTheme="majorBidi" w:hAnsiTheme="majorBidi" w:cstheme="majorBidi"/>
          <w:sz w:val="32"/>
          <w:szCs w:val="32"/>
        </w:rPr>
        <w:t xml:space="preserve">les villes du Sud passe par des habitats non consolidés et un accès limité voire inexistant aux services de base. </w:t>
      </w:r>
    </w:p>
    <w:p w:rsidR="00000000" w:rsidRDefault="00302BF5" w:rsidP="00BA3AEF">
      <w:pPr>
        <w:jc w:val="both"/>
        <w:rPr>
          <w:rFonts w:asciiTheme="majorBidi" w:hAnsiTheme="majorBidi" w:cstheme="majorBidi"/>
          <w:sz w:val="32"/>
          <w:szCs w:val="32"/>
        </w:rPr>
      </w:pPr>
      <w:r w:rsidRPr="00BA3AEF">
        <w:rPr>
          <w:rFonts w:asciiTheme="majorBidi" w:hAnsiTheme="majorBidi" w:cstheme="majorBidi"/>
          <w:sz w:val="32"/>
          <w:szCs w:val="32"/>
        </w:rPr>
        <w:t>La ville de Mexico compte ainsi 4 millions d’habitants vivant dans des bidonvilles, contre 3,3 millions au Caire. Quant à l’Afrique, </w:t>
      </w:r>
      <w:hyperlink r:id="rId8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FF0000"/>
            <w:sz w:val="32"/>
            <w:szCs w:val="32"/>
            <w:u w:val="none"/>
          </w:rPr>
          <w:t>61 % de la population urbaine</w:t>
        </w:r>
      </w:hyperlink>
      <w:r w:rsidRPr="00BA3AEF">
        <w:rPr>
          <w:rFonts w:asciiTheme="majorBidi" w:hAnsiTheme="majorBidi" w:cstheme="majorBidi"/>
          <w:b/>
          <w:bCs/>
          <w:color w:val="FF0000"/>
          <w:sz w:val="32"/>
          <w:szCs w:val="32"/>
        </w:rPr>
        <w:t> </w:t>
      </w:r>
      <w:r w:rsidRPr="00BA3AEF">
        <w:rPr>
          <w:rFonts w:asciiTheme="majorBidi" w:hAnsiTheme="majorBidi" w:cstheme="majorBidi"/>
          <w:sz w:val="32"/>
          <w:szCs w:val="32"/>
        </w:rPr>
        <w:t>vit dans les bidonvilles.</w:t>
      </w:r>
    </w:p>
    <w:p w:rsidR="00BA3AEF" w:rsidRPr="00BA3AEF" w:rsidRDefault="00BA3AEF" w:rsidP="00BA3AEF">
      <w:pPr>
        <w:jc w:val="both"/>
        <w:rPr>
          <w:rFonts w:asciiTheme="majorBidi" w:hAnsiTheme="majorBidi" w:cstheme="majorBidi"/>
          <w:sz w:val="32"/>
          <w:szCs w:val="32"/>
        </w:rPr>
      </w:pPr>
    </w:p>
    <w:p w:rsidR="00BA3AEF" w:rsidRPr="00BA3AEF" w:rsidRDefault="00BA3AEF" w:rsidP="00BA3AE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A3AEF">
        <w:rPr>
          <w:rFonts w:asciiTheme="majorBidi" w:hAnsiTheme="majorBidi" w:cstheme="majorBidi"/>
          <w:b/>
          <w:bCs/>
          <w:sz w:val="32"/>
          <w:szCs w:val="32"/>
        </w:rPr>
        <w:t>En Algérie, une cité « éco-citoyenne ».</w:t>
      </w:r>
    </w:p>
    <w:p w:rsidR="00000000" w:rsidRPr="00BA3AEF" w:rsidRDefault="00302BF5" w:rsidP="00BA3AEF">
      <w:pPr>
        <w:jc w:val="both"/>
        <w:rPr>
          <w:rFonts w:asciiTheme="majorBidi" w:hAnsiTheme="majorBidi" w:cstheme="majorBidi"/>
          <w:sz w:val="32"/>
          <w:szCs w:val="32"/>
        </w:rPr>
      </w:pPr>
      <w:r w:rsidRPr="00BA3AEF">
        <w:rPr>
          <w:rFonts w:asciiTheme="majorBidi" w:hAnsiTheme="majorBidi" w:cstheme="majorBidi"/>
          <w:sz w:val="32"/>
          <w:szCs w:val="32"/>
        </w:rPr>
        <w:t xml:space="preserve">Les </w:t>
      </w:r>
      <w:r w:rsidRPr="00BA3AEF">
        <w:rPr>
          <w:rFonts w:asciiTheme="majorBidi" w:hAnsiTheme="majorBidi" w:cstheme="majorBidi"/>
          <w:sz w:val="32"/>
          <w:szCs w:val="32"/>
        </w:rPr>
        <w:t>nouvelles propositions internationales de politiques urbaines, tels que les ODD ou </w:t>
      </w:r>
      <w:hyperlink r:id="rId9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</w:rPr>
          <w:t>Habitat III</w:t>
        </w:r>
      </w:hyperlink>
      <w:r w:rsidRPr="00BA3AEF">
        <w:rPr>
          <w:rFonts w:asciiTheme="majorBidi" w:hAnsiTheme="majorBidi" w:cstheme="majorBidi"/>
          <w:sz w:val="32"/>
          <w:szCs w:val="32"/>
        </w:rPr>
        <w:t>, en tiennent d’ailleurs compte, et tentent d’assouplir leurs cadres pour les gouvernements.</w:t>
      </w:r>
    </w:p>
    <w:p w:rsidR="00000000" w:rsidRPr="00BA3AEF" w:rsidRDefault="00302BF5" w:rsidP="00BA3AEF">
      <w:pPr>
        <w:jc w:val="both"/>
        <w:rPr>
          <w:rFonts w:asciiTheme="majorBidi" w:hAnsiTheme="majorBidi" w:cstheme="majorBidi"/>
          <w:sz w:val="32"/>
          <w:szCs w:val="32"/>
        </w:rPr>
      </w:pPr>
      <w:r w:rsidRPr="00BA3AEF">
        <w:rPr>
          <w:rFonts w:asciiTheme="majorBidi" w:hAnsiTheme="majorBidi" w:cstheme="majorBidi"/>
          <w:sz w:val="32"/>
          <w:szCs w:val="32"/>
        </w:rPr>
        <w:lastRenderedPageBreak/>
        <w:t>Les campagnes de projets – comm</w:t>
      </w:r>
      <w:r w:rsidRPr="00BA3AEF">
        <w:rPr>
          <w:rFonts w:asciiTheme="majorBidi" w:hAnsiTheme="majorBidi" w:cstheme="majorBidi"/>
          <w:sz w:val="32"/>
          <w:szCs w:val="32"/>
        </w:rPr>
        <w:t>e la </w:t>
      </w:r>
      <w:hyperlink r:id="rId10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</w:rPr>
          <w:t>campagne urbaine mondiale</w:t>
        </w:r>
      </w:hyperlink>
      <w:r w:rsidRPr="00BA3AEF">
        <w:rPr>
          <w:rFonts w:asciiTheme="majorBidi" w:hAnsiTheme="majorBidi" w:cstheme="majorBidi"/>
          <w:sz w:val="32"/>
          <w:szCs w:val="32"/>
        </w:rPr>
        <w:t xml:space="preserve"> lancée après la conférence Hapitat II de 1996, qui vise à échanger des expériences, ou </w:t>
      </w:r>
      <w:r w:rsidRPr="00BA3AEF">
        <w:rPr>
          <w:rFonts w:asciiTheme="majorBidi" w:hAnsiTheme="majorBidi" w:cstheme="majorBidi"/>
          <w:b/>
          <w:bCs/>
          <w:sz w:val="32"/>
          <w:szCs w:val="32"/>
        </w:rPr>
        <w:t>l’</w:t>
      </w:r>
      <w:hyperlink r:id="rId11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</w:rPr>
          <w:t>initiative pour les villes et le changement climatique</w:t>
        </w:r>
      </w:hyperlink>
      <w:r w:rsidRPr="00BA3AEF">
        <w:rPr>
          <w:rFonts w:asciiTheme="majorBidi" w:hAnsiTheme="majorBidi" w:cstheme="majorBidi"/>
          <w:sz w:val="32"/>
          <w:szCs w:val="32"/>
        </w:rPr>
        <w:t xml:space="preserve"> pour renforcer la capacité d’adaptation des villes dans les pays en développement – souhaitent avant tout promouvoir des initiatives locales et sensibiliser les citoyens, </w:t>
      </w:r>
      <w:r w:rsidRPr="00BA3AEF">
        <w:rPr>
          <w:rFonts w:asciiTheme="majorBidi" w:hAnsiTheme="majorBidi" w:cstheme="majorBidi"/>
          <w:sz w:val="32"/>
          <w:szCs w:val="32"/>
        </w:rPr>
        <w:t>par des expériences participatives et à l’échelle des moyens locaux.</w:t>
      </w:r>
    </w:p>
    <w:p w:rsidR="00000000" w:rsidRDefault="00302BF5" w:rsidP="00BA3AEF">
      <w:pPr>
        <w:jc w:val="both"/>
        <w:rPr>
          <w:rFonts w:asciiTheme="majorBidi" w:hAnsiTheme="majorBidi" w:cstheme="majorBidi"/>
          <w:sz w:val="32"/>
          <w:szCs w:val="32"/>
        </w:rPr>
      </w:pPr>
      <w:r w:rsidRPr="00BA3AEF">
        <w:rPr>
          <w:rFonts w:asciiTheme="majorBidi" w:hAnsiTheme="majorBidi" w:cstheme="majorBidi"/>
          <w:sz w:val="32"/>
          <w:szCs w:val="32"/>
        </w:rPr>
        <w:t>Améliorer les espaces publics peut constituer le premier pas vers une prise de conscience collective, comme ce fut dans une certaine mesure le </w:t>
      </w:r>
      <w:hyperlink r:id="rId12" w:history="1">
        <w:r w:rsidRPr="00BA3AEF">
          <w:rPr>
            <w:rStyle w:val="Lienhypertexte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</w:rPr>
          <w:t>cas à Medellín</w:t>
        </w:r>
      </w:hyperlink>
      <w:r w:rsidRPr="00BA3AEF"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BA3AEF">
        <w:rPr>
          <w:rFonts w:asciiTheme="majorBidi" w:hAnsiTheme="majorBidi" w:cstheme="majorBidi"/>
          <w:sz w:val="32"/>
          <w:szCs w:val="32"/>
        </w:rPr>
        <w:t xml:space="preserve"> en Colombie. En Algérie, la construction du Ksar Tafilelt, une ville nouvelle de plus de 10000 habitants à Ghardaïa, fut possible grâce à la société civile</w:t>
      </w:r>
      <w:r w:rsidRPr="00BA3AEF">
        <w:rPr>
          <w:rFonts w:asciiTheme="majorBidi" w:hAnsiTheme="majorBidi" w:cstheme="majorBidi"/>
          <w:sz w:val="32"/>
          <w:szCs w:val="32"/>
        </w:rPr>
        <w:t>, car le projet mêlait traditions locales et modernité, et visait un objectif de bien-vivre</w:t>
      </w:r>
      <w:r w:rsidR="00BA3AEF">
        <w:rPr>
          <w:rFonts w:asciiTheme="majorBidi" w:hAnsiTheme="majorBidi" w:cstheme="majorBidi"/>
          <w:sz w:val="32"/>
          <w:szCs w:val="32"/>
        </w:rPr>
        <w:t>.</w:t>
      </w:r>
    </w:p>
    <w:p w:rsidR="00BA3AEF" w:rsidRPr="00BA3AEF" w:rsidRDefault="00BA3AEF" w:rsidP="00BA3AEF">
      <w:pPr>
        <w:jc w:val="both"/>
        <w:rPr>
          <w:rFonts w:asciiTheme="majorBidi" w:hAnsiTheme="majorBidi" w:cstheme="majorBidi"/>
          <w:sz w:val="32"/>
          <w:szCs w:val="32"/>
        </w:rPr>
      </w:pPr>
    </w:p>
    <w:p w:rsidR="00BA3AEF" w:rsidRPr="00BA3AEF" w:rsidRDefault="00BA3AEF" w:rsidP="00BA3AEF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A3AEF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BA3AEF">
        <w:rPr>
          <w:rFonts w:ascii="Calibri" w:eastAsia="+mj-ea" w:hAnsi="Calibri" w:cs="+mj-cs"/>
          <w:b/>
          <w:bCs/>
          <w:color w:val="000000"/>
          <w:kern w:val="24"/>
          <w:sz w:val="80"/>
          <w:szCs w:val="80"/>
        </w:rPr>
        <w:t xml:space="preserve"> </w:t>
      </w:r>
      <w:r w:rsidRPr="00BA3AEF">
        <w:rPr>
          <w:rFonts w:asciiTheme="majorBidi" w:hAnsiTheme="majorBidi" w:cstheme="majorBidi"/>
          <w:b/>
          <w:bCs/>
          <w:sz w:val="32"/>
          <w:szCs w:val="32"/>
        </w:rPr>
        <w:t>La chronologie des actions de la ville en R Fr</w:t>
      </w:r>
    </w:p>
    <w:p w:rsidR="00BA3AEF" w:rsidRPr="00BA3AEF" w:rsidRDefault="00BA3AEF" w:rsidP="00BA3AEF">
      <w:pPr>
        <w:pStyle w:val="Paragraphedeliste"/>
        <w:ind w:left="0"/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>Six périodes semblent devoir constituer l’ossature d’une chronologie de la politique de la ville. Précisons que le début de chaque période ne constitue pas une rupture par rapport à la précédente, et que les frontières entre elles ne sont pas strictement délimitées :</w:t>
      </w:r>
    </w:p>
    <w:p w:rsidR="00000000" w:rsidRPr="00BA3AEF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i/>
          <w:iCs/>
          <w:sz w:val="36"/>
          <w:szCs w:val="36"/>
        </w:rPr>
        <w:t>première période de 1977 à 1981</w:t>
      </w:r>
      <w:r w:rsidRPr="00BA3AEF">
        <w:rPr>
          <w:rFonts w:asciiTheme="majorBidi" w:hAnsiTheme="majorBidi" w:cstheme="majorBidi"/>
          <w:i/>
          <w:iCs/>
          <w:sz w:val="36"/>
          <w:szCs w:val="36"/>
        </w:rPr>
        <w:t xml:space="preserve"> :</w:t>
      </w:r>
      <w:r w:rsidRPr="00BA3AEF">
        <w:rPr>
          <w:rFonts w:asciiTheme="majorBidi" w:hAnsiTheme="majorBidi" w:cstheme="majorBidi"/>
          <w:sz w:val="36"/>
          <w:szCs w:val="36"/>
        </w:rPr>
        <w:t> les ancêtres de la politique de la ville, avec « </w:t>
      </w:r>
      <w:r w:rsidRPr="00BA3AEF">
        <w:rPr>
          <w:rFonts w:asciiTheme="majorBidi" w:hAnsiTheme="majorBidi" w:cstheme="majorBidi"/>
          <w:sz w:val="36"/>
          <w:szCs w:val="36"/>
        </w:rPr>
        <w:t>Habitat et vie sociale » (HVS) ;</w:t>
      </w:r>
    </w:p>
    <w:p w:rsidR="00000000" w:rsidRPr="00BA3AEF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i/>
          <w:iCs/>
          <w:sz w:val="36"/>
          <w:szCs w:val="36"/>
        </w:rPr>
        <w:t>deuxième période de 1982 à 1984</w:t>
      </w:r>
      <w:r w:rsidRPr="00BA3AEF">
        <w:rPr>
          <w:rFonts w:asciiTheme="majorBidi" w:hAnsiTheme="majorBidi" w:cstheme="majorBidi"/>
          <w:i/>
          <w:iCs/>
          <w:sz w:val="36"/>
          <w:szCs w:val="36"/>
        </w:rPr>
        <w:t xml:space="preserve"> :</w:t>
      </w:r>
      <w:r w:rsidRPr="00BA3AEF">
        <w:rPr>
          <w:rFonts w:asciiTheme="majorBidi" w:hAnsiTheme="majorBidi" w:cstheme="majorBidi"/>
          <w:sz w:val="36"/>
          <w:szCs w:val="36"/>
        </w:rPr>
        <w:t> l’expérimentation, le développement social des quartiers comme laboratoire ;</w:t>
      </w:r>
    </w:p>
    <w:p w:rsidR="00000000" w:rsidRPr="00BA3AEF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i/>
          <w:iCs/>
          <w:sz w:val="36"/>
          <w:szCs w:val="36"/>
        </w:rPr>
        <w:t>troisième période de 1985 à 1989 :</w:t>
      </w:r>
      <w:r w:rsidRPr="00BA3AEF">
        <w:rPr>
          <w:rFonts w:asciiTheme="majorBidi" w:hAnsiTheme="majorBidi" w:cstheme="majorBidi"/>
          <w:sz w:val="36"/>
          <w:szCs w:val="36"/>
        </w:rPr>
        <w:t> le développement de l’expérimentation ;</w:t>
      </w:r>
    </w:p>
    <w:p w:rsidR="00000000" w:rsidRPr="00BA3AEF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i/>
          <w:iCs/>
          <w:sz w:val="36"/>
          <w:szCs w:val="36"/>
        </w:rPr>
        <w:lastRenderedPageBreak/>
        <w:t>quatrième période de 1990 à 1993</w:t>
      </w:r>
      <w:r w:rsidRPr="00BA3AEF">
        <w:rPr>
          <w:rFonts w:asciiTheme="majorBidi" w:hAnsiTheme="majorBidi" w:cstheme="majorBidi"/>
          <w:i/>
          <w:iCs/>
          <w:sz w:val="36"/>
          <w:szCs w:val="36"/>
        </w:rPr>
        <w:t xml:space="preserve"> :</w:t>
      </w:r>
      <w:r w:rsidRPr="00BA3AEF">
        <w:rPr>
          <w:rFonts w:asciiTheme="majorBidi" w:hAnsiTheme="majorBidi" w:cstheme="majorBidi"/>
          <w:sz w:val="36"/>
          <w:szCs w:val="36"/>
        </w:rPr>
        <w:t> la politique de la ville s’institutionnalise ;</w:t>
      </w:r>
    </w:p>
    <w:p w:rsidR="00000000" w:rsidRPr="00BA3AEF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i/>
          <w:iCs/>
          <w:sz w:val="36"/>
          <w:szCs w:val="36"/>
        </w:rPr>
        <w:t>cinquième période de 1994 à 1998</w:t>
      </w:r>
      <w:r w:rsidRPr="00BA3AEF">
        <w:rPr>
          <w:rFonts w:asciiTheme="majorBidi" w:hAnsiTheme="majorBidi" w:cstheme="majorBidi"/>
          <w:sz w:val="36"/>
          <w:szCs w:val="36"/>
        </w:rPr>
        <w:t> : du quartier à la ville avec le contrat de ville ;</w:t>
      </w:r>
    </w:p>
    <w:p w:rsidR="00000000" w:rsidRDefault="00302BF5" w:rsidP="00BA3AE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i/>
          <w:iCs/>
          <w:sz w:val="36"/>
          <w:szCs w:val="36"/>
        </w:rPr>
        <w:t>sixième période, la période actuelle</w:t>
      </w:r>
      <w:r w:rsidRPr="00BA3AEF">
        <w:rPr>
          <w:rFonts w:asciiTheme="majorBidi" w:hAnsiTheme="majorBidi" w:cstheme="majorBidi"/>
          <w:sz w:val="36"/>
          <w:szCs w:val="36"/>
        </w:rPr>
        <w:t> : de la ville à l’agglomération ; la nouvelle génération des contrats de ville du XI</w:t>
      </w:r>
      <w:r w:rsidRPr="00BA3AEF">
        <w:rPr>
          <w:rFonts w:asciiTheme="majorBidi" w:hAnsiTheme="majorBidi" w:cstheme="majorBidi"/>
          <w:sz w:val="36"/>
          <w:szCs w:val="36"/>
        </w:rPr>
        <w:t>I</w:t>
      </w:r>
      <w:r w:rsidRPr="00BA3AEF">
        <w:rPr>
          <w:rFonts w:asciiTheme="majorBidi" w:hAnsiTheme="majorBidi" w:cstheme="majorBidi"/>
          <w:sz w:val="36"/>
          <w:szCs w:val="36"/>
          <w:vertAlign w:val="superscript"/>
        </w:rPr>
        <w:t>e</w:t>
      </w:r>
      <w:r w:rsidRPr="00BA3AEF">
        <w:rPr>
          <w:rFonts w:asciiTheme="majorBidi" w:hAnsiTheme="majorBidi" w:cstheme="majorBidi"/>
          <w:sz w:val="36"/>
          <w:szCs w:val="36"/>
        </w:rPr>
        <w:t> Plan.</w:t>
      </w:r>
    </w:p>
    <w:p w:rsidR="00BA3AEF" w:rsidRDefault="00BA3AEF" w:rsidP="00BA3AEF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sz w:val="36"/>
          <w:szCs w:val="36"/>
        </w:rPr>
        <w:t>5. La chronologie des actions de la ville en RADP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000000" w:rsidRPr="00BA3AEF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 xml:space="preserve">de 1962 à 1971: </w:t>
      </w:r>
      <w:r w:rsidRPr="00BA3AEF">
        <w:rPr>
          <w:rFonts w:asciiTheme="majorBidi" w:hAnsiTheme="majorBidi" w:cstheme="majorBidi"/>
          <w:b/>
          <w:bCs/>
          <w:sz w:val="36"/>
          <w:szCs w:val="36"/>
        </w:rPr>
        <w:t>pas de préoccupation</w:t>
      </w:r>
      <w:r w:rsidRPr="00BA3AEF">
        <w:rPr>
          <w:rFonts w:asciiTheme="majorBidi" w:hAnsiTheme="majorBidi" w:cstheme="majorBidi"/>
          <w:sz w:val="36"/>
          <w:szCs w:val="36"/>
        </w:rPr>
        <w:t xml:space="preserve"> de l’état pour l’urbain;</w:t>
      </w:r>
    </w:p>
    <w:p w:rsidR="00000000" w:rsidRPr="00BA3AEF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sz w:val="36"/>
          <w:szCs w:val="36"/>
        </w:rPr>
        <w:t>1971: forte industrialisation</w:t>
      </w:r>
      <w:r w:rsidRPr="00BA3AEF">
        <w:rPr>
          <w:rFonts w:asciiTheme="majorBidi" w:hAnsiTheme="majorBidi" w:cstheme="majorBidi"/>
          <w:sz w:val="36"/>
          <w:szCs w:val="36"/>
        </w:rPr>
        <w:t>: exode rural et forte urbanisation;</w:t>
      </w:r>
    </w:p>
    <w:p w:rsidR="00000000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sz w:val="36"/>
          <w:szCs w:val="36"/>
        </w:rPr>
        <w:t>1977: l’état lance les programme ZHUN</w:t>
      </w:r>
      <w:r w:rsidRPr="00BA3AEF">
        <w:rPr>
          <w:rFonts w:asciiTheme="majorBidi" w:hAnsiTheme="majorBidi" w:cstheme="majorBidi"/>
          <w:sz w:val="36"/>
          <w:szCs w:val="36"/>
        </w:rPr>
        <w:t xml:space="preserve"> (avec production en masse de l</w:t>
      </w:r>
      <w:r w:rsidRPr="00BA3AEF">
        <w:rPr>
          <w:rFonts w:asciiTheme="majorBidi" w:hAnsiTheme="majorBidi" w:cstheme="majorBidi"/>
          <w:sz w:val="36"/>
          <w:szCs w:val="36"/>
        </w:rPr>
        <w:t>ogements alors que la majorité les équipements restent en attente);</w:t>
      </w:r>
    </w:p>
    <w:p w:rsidR="00000000" w:rsidRPr="00BA3AEF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sz w:val="36"/>
          <w:szCs w:val="36"/>
        </w:rPr>
        <w:t>1990:</w:t>
      </w:r>
      <w:r w:rsidR="00BA3AEF">
        <w:rPr>
          <w:rFonts w:asciiTheme="majorBidi" w:hAnsiTheme="majorBidi" w:cstheme="majorBidi"/>
          <w:sz w:val="36"/>
          <w:szCs w:val="36"/>
        </w:rPr>
        <w:t xml:space="preserve"> </w:t>
      </w:r>
      <w:r w:rsidRPr="00BA3AEF">
        <w:rPr>
          <w:rFonts w:asciiTheme="majorBidi" w:hAnsiTheme="majorBidi" w:cstheme="majorBidi"/>
          <w:sz w:val="36"/>
          <w:szCs w:val="36"/>
        </w:rPr>
        <w:t xml:space="preserve"> la loi sur l’orientation foncière abroge le dispositif des réserves foncières et libère les transactions foncières;</w:t>
      </w:r>
    </w:p>
    <w:p w:rsidR="00000000" w:rsidRPr="00BA3AEF" w:rsidRDefault="00302BF5" w:rsidP="00BA3AEF">
      <w:p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 xml:space="preserve">La </w:t>
      </w:r>
      <w:r w:rsidRPr="00BA3AEF">
        <w:rPr>
          <w:rFonts w:asciiTheme="majorBidi" w:hAnsiTheme="majorBidi" w:cstheme="majorBidi"/>
          <w:sz w:val="36"/>
          <w:szCs w:val="36"/>
        </w:rPr>
        <w:t>loi sur l’Aménagement du territoire te de l’urbanisme institue des nouveaux outils :</w:t>
      </w:r>
    </w:p>
    <w:p w:rsidR="00000000" w:rsidRPr="00BA3AEF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 xml:space="preserve">Le </w:t>
      </w:r>
      <w:r w:rsidRPr="00BA3AEF">
        <w:rPr>
          <w:rFonts w:asciiTheme="majorBidi" w:hAnsiTheme="majorBidi" w:cstheme="majorBidi"/>
          <w:b/>
          <w:bCs/>
          <w:sz w:val="36"/>
          <w:szCs w:val="36"/>
        </w:rPr>
        <w:t>PDAU</w:t>
      </w:r>
      <w:r w:rsidRPr="00BA3AEF">
        <w:rPr>
          <w:rFonts w:asciiTheme="majorBidi" w:hAnsiTheme="majorBidi" w:cstheme="majorBidi"/>
          <w:sz w:val="36"/>
          <w:szCs w:val="36"/>
        </w:rPr>
        <w:t xml:space="preserve"> en remplacement du PUD;</w:t>
      </w:r>
    </w:p>
    <w:p w:rsidR="00000000" w:rsidRDefault="00302BF5" w:rsidP="00BA3AEF">
      <w:pPr>
        <w:numPr>
          <w:ilvl w:val="0"/>
          <w:numId w:val="10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 xml:space="preserve">Le </w:t>
      </w:r>
      <w:r w:rsidRPr="00BA3AEF">
        <w:rPr>
          <w:rFonts w:asciiTheme="majorBidi" w:hAnsiTheme="majorBidi" w:cstheme="majorBidi"/>
          <w:b/>
          <w:bCs/>
          <w:sz w:val="36"/>
          <w:szCs w:val="36"/>
        </w:rPr>
        <w:t>POS</w:t>
      </w:r>
      <w:r w:rsidRPr="00BA3AEF">
        <w:rPr>
          <w:rFonts w:asciiTheme="majorBidi" w:hAnsiTheme="majorBidi" w:cstheme="majorBidi"/>
          <w:sz w:val="36"/>
          <w:szCs w:val="36"/>
        </w:rPr>
        <w:t xml:space="preserve"> </w:t>
      </w:r>
    </w:p>
    <w:p w:rsidR="00BA3AEF" w:rsidRDefault="00BA3AEF" w:rsidP="00BA3AEF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A3AEF">
        <w:rPr>
          <w:rFonts w:asciiTheme="majorBidi" w:hAnsiTheme="majorBidi" w:cstheme="majorBidi"/>
          <w:b/>
          <w:bCs/>
          <w:sz w:val="36"/>
          <w:szCs w:val="36"/>
        </w:rPr>
        <w:t>6.</w:t>
      </w:r>
      <w:r w:rsidRPr="00BA3AEF">
        <w:rPr>
          <w:rFonts w:ascii="Calibri" w:eastAsia="+mj-ea" w:hAnsi="Calibri" w:cs="+mj-cs"/>
          <w:b/>
          <w:bCs/>
          <w:color w:val="000000"/>
          <w:kern w:val="24"/>
          <w:sz w:val="88"/>
          <w:szCs w:val="88"/>
        </w:rPr>
        <w:t xml:space="preserve"> </w:t>
      </w:r>
      <w:r w:rsidRPr="00BA3AEF">
        <w:rPr>
          <w:rFonts w:asciiTheme="majorBidi" w:hAnsiTheme="majorBidi" w:cstheme="majorBidi"/>
          <w:b/>
          <w:bCs/>
          <w:sz w:val="36"/>
          <w:szCs w:val="36"/>
        </w:rPr>
        <w:t>Les impacts de la loi 90.</w:t>
      </w:r>
    </w:p>
    <w:p w:rsidR="00BA3AEF" w:rsidRPr="00BA3AEF" w:rsidRDefault="00BA3AEF" w:rsidP="00BA3AEF">
      <w:p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>Les plus importants impacts sont les suivants :</w:t>
      </w:r>
    </w:p>
    <w:p w:rsidR="00000000" w:rsidRPr="00BA3AEF" w:rsidRDefault="00302BF5" w:rsidP="00BA3AEF">
      <w:pPr>
        <w:numPr>
          <w:ilvl w:val="0"/>
          <w:numId w:val="12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>Résorption de l’Habitat Précaire ou RUP;</w:t>
      </w:r>
    </w:p>
    <w:p w:rsidR="00000000" w:rsidRPr="00BA3AEF" w:rsidRDefault="00302BF5" w:rsidP="00BA3AEF">
      <w:pPr>
        <w:numPr>
          <w:ilvl w:val="0"/>
          <w:numId w:val="12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lastRenderedPageBreak/>
        <w:t>Création de la Caisse Nationale du Logement la CNL.</w:t>
      </w:r>
    </w:p>
    <w:p w:rsidR="00000000" w:rsidRPr="00BA3AEF" w:rsidRDefault="00302BF5" w:rsidP="00BA3AEF">
      <w:pPr>
        <w:numPr>
          <w:ilvl w:val="0"/>
          <w:numId w:val="12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>Ces deux décisions ont abouti au Schéma National d’Aménagement du Territoire: le SNAT</w:t>
      </w:r>
      <w:r w:rsidR="00BA3AEF">
        <w:rPr>
          <w:rFonts w:asciiTheme="majorBidi" w:hAnsiTheme="majorBidi" w:cstheme="majorBidi"/>
          <w:sz w:val="36"/>
          <w:szCs w:val="36"/>
        </w:rPr>
        <w:t>.</w:t>
      </w:r>
    </w:p>
    <w:p w:rsidR="00BA3AEF" w:rsidRPr="00BA3AEF" w:rsidRDefault="00BA3AEF" w:rsidP="00BA3AEF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36"/>
          <w:szCs w:val="36"/>
        </w:rPr>
      </w:pPr>
      <w:r w:rsidRPr="00BA3AEF">
        <w:rPr>
          <w:rFonts w:asciiTheme="majorBidi" w:hAnsiTheme="majorBidi" w:cstheme="majorBidi"/>
          <w:sz w:val="36"/>
          <w:szCs w:val="36"/>
        </w:rPr>
        <w:t xml:space="preserve">Programmes de 2 millions de logements </w:t>
      </w:r>
      <w:r>
        <w:rPr>
          <w:rFonts w:asciiTheme="majorBidi" w:hAnsiTheme="majorBidi" w:cstheme="majorBidi"/>
          <w:sz w:val="36"/>
          <w:szCs w:val="36"/>
        </w:rPr>
        <w:t>.</w:t>
      </w:r>
    </w:p>
    <w:p w:rsidR="00BA3AEF" w:rsidRPr="00BA3AEF" w:rsidRDefault="00BA3AEF" w:rsidP="00BA3AEF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BA3AEF" w:rsidRPr="00BA3AEF" w:rsidRDefault="00BA3AEF" w:rsidP="00BA3AEF">
      <w:pPr>
        <w:ind w:left="360"/>
        <w:jc w:val="both"/>
        <w:rPr>
          <w:rFonts w:asciiTheme="majorBidi" w:hAnsiTheme="majorBidi" w:cstheme="majorBidi"/>
          <w:sz w:val="36"/>
          <w:szCs w:val="36"/>
        </w:rPr>
      </w:pPr>
    </w:p>
    <w:p w:rsidR="00BA3AEF" w:rsidRPr="00BA3AEF" w:rsidRDefault="00BA3AEF" w:rsidP="00BA3AEF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AB4445" w:rsidRPr="00AB4445" w:rsidRDefault="00AB4445" w:rsidP="00AB4445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sectPr w:rsidR="00AB4445" w:rsidRPr="00AB4445" w:rsidSect="00907C9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F5" w:rsidRDefault="00302BF5" w:rsidP="00AB4445">
      <w:pPr>
        <w:spacing w:after="0" w:line="240" w:lineRule="auto"/>
      </w:pPr>
      <w:r>
        <w:separator/>
      </w:r>
    </w:p>
  </w:endnote>
  <w:endnote w:type="continuationSeparator" w:id="1">
    <w:p w:rsidR="00302BF5" w:rsidRDefault="00302BF5" w:rsidP="00AB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23347"/>
      <w:docPartObj>
        <w:docPartGallery w:val="Page Numbers (Bottom of Page)"/>
        <w:docPartUnique/>
      </w:docPartObj>
    </w:sdtPr>
    <w:sdtContent>
      <w:p w:rsidR="00AB4445" w:rsidRDefault="00AB4445">
        <w:pPr>
          <w:pStyle w:val="Pieddepage"/>
        </w:pPr>
        <w:r>
          <w:rPr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AB4445" w:rsidRDefault="00AB4445">
                    <w:pPr>
                      <w:jc w:val="center"/>
                    </w:pPr>
                    <w:fldSimple w:instr=" PAGE    \* MERGEFORMAT ">
                      <w:r w:rsidR="00BA3AEF" w:rsidRPr="00BA3AEF">
                        <w:rPr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F5" w:rsidRDefault="00302BF5" w:rsidP="00AB4445">
      <w:pPr>
        <w:spacing w:after="0" w:line="240" w:lineRule="auto"/>
      </w:pPr>
      <w:r>
        <w:separator/>
      </w:r>
    </w:p>
  </w:footnote>
  <w:footnote w:type="continuationSeparator" w:id="1">
    <w:p w:rsidR="00302BF5" w:rsidRDefault="00302BF5" w:rsidP="00AB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+mj-ea" w:hAnsi="Calibri" w:cs="+mj-cs"/>
        <w:b/>
        <w:bCs/>
        <w:color w:val="000000"/>
        <w:kern w:val="24"/>
        <w:sz w:val="20"/>
        <w:szCs w:val="20"/>
      </w:rPr>
      <w:alias w:val="Titre"/>
      <w:id w:val="77887899"/>
      <w:placeholder>
        <w:docPart w:val="3A5974A7590C42E4A4BD1E23007665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B4445" w:rsidRDefault="00AB4445" w:rsidP="00AB4445">
        <w:pPr>
          <w:pStyle w:val="En-tte"/>
          <w:tabs>
            <w:tab w:val="left" w:pos="2580"/>
            <w:tab w:val="left" w:pos="2985"/>
          </w:tabs>
          <w:jc w:val="right"/>
          <w:rPr>
            <w:b/>
            <w:bCs/>
            <w:color w:val="1F497D" w:themeColor="text2"/>
            <w:sz w:val="28"/>
            <w:szCs w:val="28"/>
          </w:rPr>
        </w:pPr>
        <w:r w:rsidRPr="00AB4445">
          <w:rPr>
            <w:rFonts w:ascii="Calibri" w:eastAsia="+mj-ea" w:hAnsi="Calibri" w:cs="+mj-cs"/>
            <w:b/>
            <w:bCs/>
            <w:color w:val="000000"/>
            <w:kern w:val="24"/>
            <w:sz w:val="20"/>
            <w:szCs w:val="20"/>
          </w:rPr>
          <w:t>HABITAT ET POLITIQUES DE LA VILLE</w:t>
        </w:r>
      </w:p>
    </w:sdtContent>
  </w:sdt>
  <w:sdt>
    <w:sdtPr>
      <w:rPr>
        <w:rFonts w:asciiTheme="majorBidi" w:eastAsia="+mj-ea" w:hAnsiTheme="majorBidi" w:cstheme="majorBidi"/>
        <w:color w:val="000000"/>
        <w:kern w:val="24"/>
        <w:sz w:val="20"/>
        <w:szCs w:val="20"/>
      </w:rPr>
      <w:alias w:val="Sous-titre"/>
      <w:id w:val="77887903"/>
      <w:placeholder>
        <w:docPart w:val="6D401D7BAC31438F9D7F1E6DB7AEBA8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AB4445" w:rsidRDefault="00AB4445" w:rsidP="00AB4445">
        <w:pPr>
          <w:pStyle w:val="En-tte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rFonts w:asciiTheme="majorBidi" w:eastAsia="+mj-ea" w:hAnsiTheme="majorBidi" w:cstheme="majorBidi"/>
            <w:color w:val="000000"/>
            <w:kern w:val="24"/>
            <w:sz w:val="20"/>
            <w:szCs w:val="20"/>
          </w:rPr>
          <w:t>Chap5: L</w:t>
        </w:r>
        <w:r w:rsidRPr="00AB4445">
          <w:rPr>
            <w:rFonts w:asciiTheme="majorBidi" w:eastAsia="+mj-ea" w:hAnsiTheme="majorBidi" w:cstheme="majorBidi"/>
            <w:color w:val="000000"/>
            <w:kern w:val="24"/>
            <w:sz w:val="20"/>
            <w:szCs w:val="20"/>
          </w:rPr>
          <w:t>es acteurs et la chronologie des actions</w:t>
        </w:r>
      </w:p>
    </w:sdtContent>
  </w:sdt>
  <w:sdt>
    <w:sdtPr>
      <w:rPr>
        <w:color w:val="808080" w:themeColor="text1" w:themeTint="7F"/>
      </w:rPr>
      <w:alias w:val="Auteur"/>
      <w:id w:val="77887908"/>
      <w:placeholder>
        <w:docPart w:val="3533AE1D5D794937A27443C6A5097AD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AB4445" w:rsidRDefault="00AB4445" w:rsidP="00AB4445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BOUFENARA K</w:t>
        </w:r>
      </w:p>
    </w:sdtContent>
  </w:sdt>
  <w:p w:rsidR="00AB4445" w:rsidRDefault="00AB44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403"/>
    <w:multiLevelType w:val="hybridMultilevel"/>
    <w:tmpl w:val="9A94B274"/>
    <w:lvl w:ilvl="0" w:tplc="993CF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A49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E1E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85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0C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E4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8F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26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25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8F4337"/>
    <w:multiLevelType w:val="hybridMultilevel"/>
    <w:tmpl w:val="CF9AC2C2"/>
    <w:lvl w:ilvl="0" w:tplc="06702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8B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8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4E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2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4B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A0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47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E2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1562A6"/>
    <w:multiLevelType w:val="multilevel"/>
    <w:tmpl w:val="71FAED4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A596C2E"/>
    <w:multiLevelType w:val="hybridMultilevel"/>
    <w:tmpl w:val="CF4E5D44"/>
    <w:lvl w:ilvl="0" w:tplc="7248A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CE2F4">
      <w:start w:val="200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28F5E">
      <w:start w:val="200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A1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21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EE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A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44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E6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D825B9"/>
    <w:multiLevelType w:val="hybridMultilevel"/>
    <w:tmpl w:val="B13CFC00"/>
    <w:lvl w:ilvl="0" w:tplc="569AD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29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81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A1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2A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6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E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2B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6E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736E83"/>
    <w:multiLevelType w:val="hybridMultilevel"/>
    <w:tmpl w:val="A8AA2974"/>
    <w:lvl w:ilvl="0" w:tplc="D17C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46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E7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A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27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CD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76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E9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A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F71222"/>
    <w:multiLevelType w:val="hybridMultilevel"/>
    <w:tmpl w:val="A8762B3E"/>
    <w:lvl w:ilvl="0" w:tplc="4F364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02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27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A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E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8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4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E2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DF565A"/>
    <w:multiLevelType w:val="hybridMultilevel"/>
    <w:tmpl w:val="088E9620"/>
    <w:lvl w:ilvl="0" w:tplc="DD140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8C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A1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81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20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AB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CA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E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713A36"/>
    <w:multiLevelType w:val="hybridMultilevel"/>
    <w:tmpl w:val="CFB4C14E"/>
    <w:lvl w:ilvl="0" w:tplc="55260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4F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6E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82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4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8A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0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35502BA"/>
    <w:multiLevelType w:val="hybridMultilevel"/>
    <w:tmpl w:val="EB06EE00"/>
    <w:lvl w:ilvl="0" w:tplc="A9825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4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A0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EE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A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CF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84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08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66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8704E6"/>
    <w:multiLevelType w:val="hybridMultilevel"/>
    <w:tmpl w:val="3668A4F0"/>
    <w:lvl w:ilvl="0" w:tplc="0CF0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E8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24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C2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C1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B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A7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63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8D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A4B56B8"/>
    <w:multiLevelType w:val="hybridMultilevel"/>
    <w:tmpl w:val="4EA812EC"/>
    <w:lvl w:ilvl="0" w:tplc="36B6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0D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0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0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C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C8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A5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69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B4445"/>
    <w:rsid w:val="00302BF5"/>
    <w:rsid w:val="00907C90"/>
    <w:rsid w:val="009F5FAC"/>
    <w:rsid w:val="00A13F5F"/>
    <w:rsid w:val="00AB4445"/>
    <w:rsid w:val="00BA3AEF"/>
    <w:rsid w:val="00C11D8E"/>
    <w:rsid w:val="00F7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45"/>
    <w:rPr>
      <w:noProof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445"/>
    <w:rPr>
      <w:noProof/>
    </w:rPr>
  </w:style>
  <w:style w:type="paragraph" w:styleId="Pieddepage">
    <w:name w:val="footer"/>
    <w:basedOn w:val="Normal"/>
    <w:link w:val="PieddepageCar"/>
    <w:uiPriority w:val="99"/>
    <w:semiHidden/>
    <w:unhideWhenUsed/>
    <w:rsid w:val="00AB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445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445"/>
    <w:rPr>
      <w:rFonts w:ascii="Tahoma" w:hAnsi="Tahoma" w:cs="Tahoma"/>
      <w:noProof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44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3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0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5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3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9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2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8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6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14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7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6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09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ees.banquemondiale.org/indicateur/EN.POP.SLUM.UR.ZS?view=char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r.unhabitat.org/urban-themes/logement-et-amelioration-des-bidonvilles/" TargetMode="External"/><Relationship Id="rId12" Type="http://schemas.openxmlformats.org/officeDocument/2006/relationships/hyperlink" Target="https://www.lesechos.fr/thema/0301684876311-medellin-la-ville-violente-devenue-modele-durbanisation-2177558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unhabitat.org/linitiative-pour-les-villes-et-le-changement-climatiqu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r.unhabitat.org/campagne-urbaine-mondi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itat3.org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5974A7590C42E4A4BD1E2300766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0CE07-C938-4A31-8290-630AE9D7F786}"/>
      </w:docPartPr>
      <w:docPartBody>
        <w:p w:rsidR="00000000" w:rsidRDefault="00E54868" w:rsidP="00E54868">
          <w:pPr>
            <w:pStyle w:val="3A5974A7590C42E4A4BD1E2300766591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6D401D7BAC31438F9D7F1E6DB7AEB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0D6DF-2265-4F73-96A0-69D80D7AC5FD}"/>
      </w:docPartPr>
      <w:docPartBody>
        <w:p w:rsidR="00000000" w:rsidRDefault="00E54868" w:rsidP="00E54868">
          <w:pPr>
            <w:pStyle w:val="6D401D7BAC31438F9D7F1E6DB7AEBA8F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  <w:docPart>
      <w:docPartPr>
        <w:name w:val="3533AE1D5D794937A27443C6A5097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B6309-0744-42AA-A2B9-7997824463E7}"/>
      </w:docPartPr>
      <w:docPartBody>
        <w:p w:rsidR="00000000" w:rsidRDefault="00E54868" w:rsidP="00E54868">
          <w:pPr>
            <w:pStyle w:val="3533AE1D5D794937A27443C6A5097ADA"/>
          </w:pPr>
          <w:r>
            <w:rPr>
              <w:b/>
              <w:bCs/>
              <w:color w:val="1F497D" w:themeColor="text2"/>
              <w:sz w:val="28"/>
              <w:szCs w:val="2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54868"/>
    <w:rsid w:val="00612989"/>
    <w:rsid w:val="00E5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A96B78C1B734521A64D76A19C906CD0">
    <w:name w:val="3A96B78C1B734521A64D76A19C906CD0"/>
    <w:rsid w:val="00E54868"/>
  </w:style>
  <w:style w:type="paragraph" w:customStyle="1" w:styleId="4A1153648A414E079A0D347C6833403D">
    <w:name w:val="4A1153648A414E079A0D347C6833403D"/>
    <w:rsid w:val="00E54868"/>
  </w:style>
  <w:style w:type="paragraph" w:customStyle="1" w:styleId="D9F05666C2334C179598DAF4B31EB2A0">
    <w:name w:val="D9F05666C2334C179598DAF4B31EB2A0"/>
    <w:rsid w:val="00E54868"/>
  </w:style>
  <w:style w:type="paragraph" w:customStyle="1" w:styleId="3A5974A7590C42E4A4BD1E2300766591">
    <w:name w:val="3A5974A7590C42E4A4BD1E2300766591"/>
    <w:rsid w:val="00E54868"/>
  </w:style>
  <w:style w:type="paragraph" w:customStyle="1" w:styleId="6D401D7BAC31438F9D7F1E6DB7AEBA8F">
    <w:name w:val="6D401D7BAC31438F9D7F1E6DB7AEBA8F"/>
    <w:rsid w:val="00E54868"/>
  </w:style>
  <w:style w:type="paragraph" w:customStyle="1" w:styleId="3533AE1D5D794937A27443C6A5097ADA">
    <w:name w:val="3533AE1D5D794937A27443C6A5097ADA"/>
    <w:rsid w:val="00E548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ET POLITIQUES DE LA VILLE</dc:title>
  <dc:subject>Chap5: Les acteurs et la chronologie des actions</dc:subject>
  <dc:creator>BOUFENARA K</dc:creator>
  <cp:lastModifiedBy>boufenara</cp:lastModifiedBy>
  <cp:revision>1</cp:revision>
  <dcterms:created xsi:type="dcterms:W3CDTF">2020-05-30T13:45:00Z</dcterms:created>
  <dcterms:modified xsi:type="dcterms:W3CDTF">2020-05-30T14:06:00Z</dcterms:modified>
</cp:coreProperties>
</file>