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0F" w:rsidRDefault="00C36D0F" w:rsidP="00C36D0F">
      <w:pPr>
        <w:jc w:val="center"/>
        <w:rPr>
          <w:sz w:val="56"/>
          <w:szCs w:val="56"/>
        </w:rPr>
      </w:pPr>
      <w:r>
        <w:rPr>
          <w:sz w:val="56"/>
          <w:szCs w:val="56"/>
        </w:rPr>
        <w:t xml:space="preserve">Séminaire </w:t>
      </w:r>
    </w:p>
    <w:p w:rsidR="00C36D0F" w:rsidRDefault="00C36D0F" w:rsidP="00C36D0F">
      <w:pPr>
        <w:jc w:val="center"/>
        <w:rPr>
          <w:b/>
          <w:bCs/>
          <w:sz w:val="56"/>
          <w:szCs w:val="56"/>
        </w:rPr>
      </w:pPr>
      <w:r w:rsidRPr="00E57D30">
        <w:rPr>
          <w:b/>
          <w:bCs/>
          <w:sz w:val="56"/>
          <w:szCs w:val="56"/>
        </w:rPr>
        <w:t>HABITAT ET POLITIQUES DE LA VILLE</w:t>
      </w:r>
    </w:p>
    <w:p w:rsidR="00C36D0F" w:rsidRDefault="00C36D0F" w:rsidP="00C36D0F">
      <w:pPr>
        <w:jc w:val="center"/>
        <w:rPr>
          <w:b/>
          <w:bCs/>
          <w:sz w:val="56"/>
          <w:szCs w:val="56"/>
        </w:rPr>
      </w:pPr>
    </w:p>
    <w:p w:rsidR="00C36D0F" w:rsidRDefault="00C36D0F" w:rsidP="00C36D0F">
      <w:pPr>
        <w:jc w:val="center"/>
        <w:rPr>
          <w:b/>
          <w:bCs/>
          <w:sz w:val="56"/>
          <w:szCs w:val="56"/>
        </w:rPr>
      </w:pPr>
    </w:p>
    <w:p w:rsidR="00C36D0F" w:rsidRDefault="00C36D0F" w:rsidP="00C36D0F">
      <w:pPr>
        <w:jc w:val="center"/>
        <w:rPr>
          <w:b/>
          <w:bCs/>
          <w:sz w:val="56"/>
          <w:szCs w:val="56"/>
        </w:rPr>
      </w:pPr>
    </w:p>
    <w:p w:rsidR="001D6815" w:rsidRPr="00C36D0F" w:rsidRDefault="00C36D0F" w:rsidP="00C36D0F">
      <w:pPr>
        <w:jc w:val="center"/>
        <w:rPr>
          <w:rFonts w:asciiTheme="majorBidi" w:hAnsiTheme="majorBidi" w:cstheme="majorBidi"/>
          <w:b/>
          <w:bCs/>
          <w:sz w:val="56"/>
          <w:szCs w:val="56"/>
        </w:rPr>
      </w:pPr>
      <w:r w:rsidRPr="00C36D0F">
        <w:rPr>
          <w:rFonts w:asciiTheme="majorBidi" w:hAnsiTheme="majorBidi" w:cstheme="majorBidi"/>
          <w:b/>
          <w:bCs/>
          <w:sz w:val="56"/>
          <w:szCs w:val="56"/>
        </w:rPr>
        <w:t>Chap 4:Du rural à l’urbain</w:t>
      </w:r>
    </w:p>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 w:rsidR="00C36D0F" w:rsidRDefault="00C36D0F" w:rsidP="00C36D0F">
      <w:pPr>
        <w:spacing w:after="0" w:line="240" w:lineRule="auto"/>
        <w:jc w:val="center"/>
        <w:rPr>
          <w:sz w:val="24"/>
          <w:szCs w:val="24"/>
        </w:rPr>
      </w:pPr>
      <w:r w:rsidRPr="00E57D30">
        <w:rPr>
          <w:sz w:val="24"/>
          <w:szCs w:val="24"/>
        </w:rPr>
        <w:t>Dr BOUFENARA  Khedidja</w:t>
      </w:r>
    </w:p>
    <w:p w:rsidR="00C36D0F" w:rsidRPr="00E57D30" w:rsidRDefault="00C36D0F" w:rsidP="00C36D0F">
      <w:pPr>
        <w:spacing w:after="0" w:line="240" w:lineRule="auto"/>
        <w:jc w:val="center"/>
        <w:rPr>
          <w:sz w:val="24"/>
          <w:szCs w:val="24"/>
        </w:rPr>
      </w:pPr>
      <w:r>
        <w:rPr>
          <w:sz w:val="24"/>
          <w:szCs w:val="24"/>
        </w:rPr>
        <w:t>Département d’Architecture/ Faculté Des Sciences de la Terre</w:t>
      </w:r>
    </w:p>
    <w:p w:rsidR="00C36D0F" w:rsidRPr="00E57D30" w:rsidRDefault="00C36D0F" w:rsidP="00C36D0F">
      <w:pPr>
        <w:spacing w:after="0" w:line="240" w:lineRule="auto"/>
        <w:jc w:val="center"/>
        <w:rPr>
          <w:sz w:val="24"/>
          <w:szCs w:val="24"/>
        </w:rPr>
      </w:pPr>
      <w:r w:rsidRPr="00E57D30">
        <w:rPr>
          <w:sz w:val="24"/>
          <w:szCs w:val="24"/>
        </w:rPr>
        <w:t>UBMA</w:t>
      </w:r>
    </w:p>
    <w:p w:rsidR="00C36D0F" w:rsidRDefault="00C36D0F" w:rsidP="00C36D0F">
      <w:pPr>
        <w:spacing w:after="0" w:line="240" w:lineRule="auto"/>
        <w:jc w:val="center"/>
        <w:rPr>
          <w:sz w:val="24"/>
          <w:szCs w:val="24"/>
        </w:rPr>
      </w:pPr>
      <w:r>
        <w:rPr>
          <w:sz w:val="24"/>
          <w:szCs w:val="24"/>
        </w:rPr>
        <w:t>2020</w:t>
      </w:r>
    </w:p>
    <w:p w:rsidR="00C36D0F" w:rsidRDefault="00C36D0F" w:rsidP="00C36D0F"/>
    <w:p w:rsidR="00C36D0F" w:rsidRPr="00C36D0F" w:rsidRDefault="00C36D0F" w:rsidP="00C36D0F">
      <w:pPr>
        <w:rPr>
          <w:rFonts w:asciiTheme="majorBidi" w:hAnsiTheme="majorBidi" w:cstheme="majorBidi"/>
          <w:b/>
          <w:bCs/>
          <w:sz w:val="36"/>
          <w:szCs w:val="36"/>
        </w:rPr>
      </w:pPr>
      <w:r>
        <w:rPr>
          <w:rFonts w:asciiTheme="majorBidi" w:hAnsiTheme="majorBidi" w:cstheme="majorBidi"/>
          <w:b/>
          <w:bCs/>
          <w:sz w:val="36"/>
          <w:szCs w:val="36"/>
        </w:rPr>
        <w:lastRenderedPageBreak/>
        <w:t>1.</w:t>
      </w:r>
      <w:r w:rsidRPr="00C36D0F">
        <w:rPr>
          <w:rFonts w:asciiTheme="majorBidi" w:hAnsiTheme="majorBidi" w:cstheme="majorBidi"/>
          <w:b/>
          <w:bCs/>
          <w:sz w:val="36"/>
          <w:szCs w:val="36"/>
        </w:rPr>
        <w:t>Une question à double sens</w:t>
      </w:r>
    </w:p>
    <w:p w:rsidR="00C36D0F" w:rsidRPr="00C36D0F" w:rsidRDefault="00C36D0F" w:rsidP="00C36D0F">
      <w:pPr>
        <w:rPr>
          <w:rFonts w:asciiTheme="majorBidi" w:hAnsiTheme="majorBidi" w:cstheme="majorBidi"/>
          <w:sz w:val="32"/>
          <w:szCs w:val="32"/>
        </w:rPr>
      </w:pPr>
      <w:r w:rsidRPr="00C36D0F">
        <w:rPr>
          <w:rFonts w:asciiTheme="majorBidi" w:hAnsiTheme="majorBidi" w:cstheme="majorBidi"/>
          <w:sz w:val="32"/>
          <w:szCs w:val="32"/>
        </w:rPr>
        <w:t>Si dans les pays industrialisés la question est comment intégrer la nature en ville, dans les pays sous développés la question est comment maintenir l’urbanité en ville?</w:t>
      </w:r>
    </w:p>
    <w:p w:rsidR="00C36D0F" w:rsidRPr="00C36D0F" w:rsidRDefault="00C36D0F" w:rsidP="00C36D0F">
      <w:pPr>
        <w:rPr>
          <w:rFonts w:asciiTheme="majorBidi" w:hAnsiTheme="majorBidi" w:cstheme="majorBidi"/>
          <w:sz w:val="32"/>
          <w:szCs w:val="32"/>
        </w:rPr>
      </w:pPr>
      <w:r w:rsidRPr="00C36D0F">
        <w:rPr>
          <w:rFonts w:asciiTheme="majorBidi" w:hAnsiTheme="majorBidi" w:cstheme="majorBidi"/>
          <w:sz w:val="32"/>
          <w:szCs w:val="32"/>
        </w:rPr>
        <w:t>L’urbain et le rural se sont opposés pendant des siècles et de façon simple.</w:t>
      </w:r>
    </w:p>
    <w:p w:rsidR="00C36D0F" w:rsidRDefault="00C36D0F" w:rsidP="00C36D0F">
      <w:pPr>
        <w:rPr>
          <w:rFonts w:asciiTheme="majorBidi" w:hAnsiTheme="majorBidi" w:cstheme="majorBidi"/>
          <w:sz w:val="32"/>
          <w:szCs w:val="32"/>
        </w:rPr>
      </w:pPr>
      <w:r w:rsidRPr="00C36D0F">
        <w:rPr>
          <w:rFonts w:asciiTheme="majorBidi" w:hAnsiTheme="majorBidi" w:cstheme="majorBidi"/>
          <w:sz w:val="32"/>
          <w:szCs w:val="32"/>
        </w:rPr>
        <w:t xml:space="preserve">Cette opposition est devenue plus difficile à définir sous plusieurs angles. </w:t>
      </w:r>
    </w:p>
    <w:p w:rsidR="00000000" w:rsidRDefault="00587A76" w:rsidP="00C36D0F">
      <w:pPr>
        <w:rPr>
          <w:rFonts w:asciiTheme="majorBidi" w:hAnsiTheme="majorBidi" w:cstheme="majorBidi"/>
          <w:sz w:val="32"/>
          <w:szCs w:val="32"/>
        </w:rPr>
      </w:pPr>
      <w:r w:rsidRPr="00C36D0F">
        <w:rPr>
          <w:rFonts w:asciiTheme="majorBidi" w:hAnsiTheme="majorBidi" w:cstheme="majorBidi"/>
          <w:sz w:val="32"/>
          <w:szCs w:val="32"/>
        </w:rPr>
        <w:t>On retrouve une myriade de territoires à l’intérieur d’une échelle graduée dont l’urbain et le rural</w:t>
      </w:r>
      <w:r w:rsidRPr="00C36D0F">
        <w:rPr>
          <w:rFonts w:asciiTheme="majorBidi" w:hAnsiTheme="majorBidi" w:cstheme="majorBidi"/>
          <w:sz w:val="32"/>
          <w:szCs w:val="32"/>
        </w:rPr>
        <w:t xml:space="preserve"> ne sont que les deux extrêmes. Cette catégorisation plus fine des territoires habités reflète bien les métamorphoses récentes qui gomment progressivement les oppositions traditionnelles. Les classements binaires de l’urbain et du rural ne sont tout simple</w:t>
      </w:r>
      <w:r w:rsidRPr="00C36D0F">
        <w:rPr>
          <w:rFonts w:asciiTheme="majorBidi" w:hAnsiTheme="majorBidi" w:cstheme="majorBidi"/>
          <w:sz w:val="32"/>
          <w:szCs w:val="32"/>
        </w:rPr>
        <w:t xml:space="preserve">ment plus appropriés.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Cette évolution fait également ressortir l’importance grandissante de </w:t>
      </w:r>
      <w:r w:rsidRPr="00C36D0F">
        <w:rPr>
          <w:rFonts w:asciiTheme="majorBidi" w:hAnsiTheme="majorBidi" w:cstheme="majorBidi"/>
          <w:sz w:val="32"/>
          <w:szCs w:val="32"/>
        </w:rPr>
        <w:t>l’économie résidentielle ou présentielle</w:t>
      </w:r>
      <w:r w:rsidRPr="00C36D0F">
        <w:rPr>
          <w:rFonts w:asciiTheme="majorBidi" w:hAnsiTheme="majorBidi" w:cstheme="majorBidi"/>
          <w:sz w:val="32"/>
          <w:szCs w:val="32"/>
        </w:rPr>
        <w:t xml:space="preserve"> </w:t>
      </w:r>
      <w:r w:rsidRPr="00C36D0F">
        <w:rPr>
          <w:rFonts w:asciiTheme="majorBidi" w:hAnsiTheme="majorBidi" w:cstheme="majorBidi"/>
          <w:sz w:val="32"/>
          <w:szCs w:val="32"/>
        </w:rPr>
        <w:t xml:space="preserve">pour les collectivités traditionnellement </w:t>
      </w:r>
      <w:r w:rsidRPr="00C36D0F">
        <w:rPr>
          <w:rFonts w:asciiTheme="majorBidi" w:hAnsiTheme="majorBidi" w:cstheme="majorBidi"/>
          <w:sz w:val="32"/>
          <w:szCs w:val="32"/>
        </w:rPr>
        <w:t>rurales</w:t>
      </w:r>
      <w:r w:rsidRPr="00C36D0F">
        <w:rPr>
          <w:rFonts w:asciiTheme="majorBidi" w:hAnsiTheme="majorBidi" w:cstheme="majorBidi"/>
          <w:sz w:val="32"/>
          <w:szCs w:val="32"/>
        </w:rPr>
        <w:t xml:space="preserve"> (Davezies, 2009) ainsi que </w:t>
      </w:r>
      <w:r w:rsidRPr="00C36D0F">
        <w:rPr>
          <w:rFonts w:asciiTheme="majorBidi" w:hAnsiTheme="majorBidi" w:cstheme="majorBidi"/>
          <w:sz w:val="32"/>
          <w:szCs w:val="32"/>
        </w:rPr>
        <w:t xml:space="preserve">l’interdépendance </w:t>
      </w:r>
      <w:r w:rsidRPr="00C36D0F">
        <w:rPr>
          <w:rFonts w:asciiTheme="majorBidi" w:hAnsiTheme="majorBidi" w:cstheme="majorBidi"/>
          <w:sz w:val="32"/>
          <w:szCs w:val="32"/>
        </w:rPr>
        <w:t>des territoires (Vanier, 2</w:t>
      </w:r>
      <w:r w:rsidRPr="00C36D0F">
        <w:rPr>
          <w:rFonts w:asciiTheme="majorBidi" w:hAnsiTheme="majorBidi" w:cstheme="majorBidi"/>
          <w:sz w:val="32"/>
          <w:szCs w:val="32"/>
        </w:rPr>
        <w:t xml:space="preserve">008).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Au surplus, les trajectoires résidentielles favorisées par la grande </w:t>
      </w:r>
      <w:r w:rsidRPr="00C36D0F">
        <w:rPr>
          <w:rFonts w:asciiTheme="majorBidi" w:hAnsiTheme="majorBidi" w:cstheme="majorBidi"/>
          <w:sz w:val="32"/>
          <w:szCs w:val="32"/>
        </w:rPr>
        <w:t xml:space="preserve">mobilité </w:t>
      </w:r>
      <w:r w:rsidRPr="00C36D0F">
        <w:rPr>
          <w:rFonts w:asciiTheme="majorBidi" w:hAnsiTheme="majorBidi" w:cstheme="majorBidi"/>
          <w:sz w:val="32"/>
          <w:szCs w:val="32"/>
        </w:rPr>
        <w:t xml:space="preserve">des individus causent de </w:t>
      </w:r>
      <w:r w:rsidRPr="00C36D0F">
        <w:rPr>
          <w:rFonts w:asciiTheme="majorBidi" w:hAnsiTheme="majorBidi" w:cstheme="majorBidi"/>
          <w:sz w:val="32"/>
          <w:szCs w:val="32"/>
        </w:rPr>
        <w:t>l’étalement urbain</w:t>
      </w:r>
      <w:r w:rsidRPr="00C36D0F">
        <w:rPr>
          <w:rFonts w:asciiTheme="majorBidi" w:hAnsiTheme="majorBidi" w:cstheme="majorBidi"/>
          <w:sz w:val="32"/>
          <w:szCs w:val="32"/>
        </w:rPr>
        <w:t xml:space="preserve">, phénomène qui nous donne toute la mesure du défi du développement urbain durable. </w:t>
      </w:r>
    </w:p>
    <w:p w:rsidR="00C36D0F" w:rsidRDefault="00C36D0F" w:rsidP="00C36D0F">
      <w:pPr>
        <w:rPr>
          <w:rFonts w:asciiTheme="majorBidi" w:hAnsiTheme="majorBidi" w:cstheme="majorBidi"/>
          <w:b/>
          <w:bCs/>
          <w:sz w:val="36"/>
          <w:szCs w:val="36"/>
        </w:rPr>
      </w:pPr>
      <w:r w:rsidRPr="00C36D0F">
        <w:rPr>
          <w:rFonts w:asciiTheme="majorBidi" w:hAnsiTheme="majorBidi" w:cstheme="majorBidi"/>
          <w:b/>
          <w:bCs/>
          <w:sz w:val="36"/>
          <w:szCs w:val="36"/>
        </w:rPr>
        <w:t>2. Difficulté de définition</w:t>
      </w:r>
      <w:r>
        <w:rPr>
          <w:rFonts w:asciiTheme="majorBidi" w:hAnsiTheme="majorBidi" w:cstheme="majorBidi"/>
          <w:b/>
          <w:bCs/>
          <w:sz w:val="36"/>
          <w:szCs w:val="36"/>
        </w:rPr>
        <w:t>.</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L’urbain est l’</w:t>
      </w:r>
      <w:r w:rsidRPr="00C36D0F">
        <w:rPr>
          <w:rFonts w:asciiTheme="majorBidi" w:hAnsiTheme="majorBidi" w:cstheme="majorBidi"/>
          <w:sz w:val="32"/>
          <w:szCs w:val="32"/>
        </w:rPr>
        <w:t>adjectif qui qualifie ce qui est de la ville alors que l’expression rurale réfère à ce qui appartient à la campagne, territoire essentiellement marqué par l’activité agricole et la très basse densité qui en découle.</w:t>
      </w:r>
    </w:p>
    <w:p w:rsidR="00000000" w:rsidRDefault="00587A76" w:rsidP="00C36D0F">
      <w:pPr>
        <w:rPr>
          <w:rFonts w:asciiTheme="majorBidi" w:hAnsiTheme="majorBidi" w:cstheme="majorBidi"/>
          <w:sz w:val="32"/>
          <w:szCs w:val="32"/>
        </w:rPr>
      </w:pPr>
      <w:r w:rsidRPr="00C36D0F">
        <w:rPr>
          <w:rFonts w:asciiTheme="majorBidi" w:hAnsiTheme="majorBidi" w:cstheme="majorBidi"/>
          <w:sz w:val="32"/>
          <w:szCs w:val="32"/>
        </w:rPr>
        <w:lastRenderedPageBreak/>
        <w:t>Depuis la fin du dernier siècle, on s’i</w:t>
      </w:r>
      <w:r w:rsidRPr="00C36D0F">
        <w:rPr>
          <w:rFonts w:asciiTheme="majorBidi" w:hAnsiTheme="majorBidi" w:cstheme="majorBidi"/>
          <w:sz w:val="32"/>
          <w:szCs w:val="32"/>
        </w:rPr>
        <w:t xml:space="preserve">ntéresse plutôt à un type de civilisation ayant des rapports sociaux et environnementaux particuliers, tous territoires confondus. En effet, depuis environ un demi-siècle, on remarque </w:t>
      </w:r>
      <w:r w:rsidRPr="00C36D0F">
        <w:rPr>
          <w:rFonts w:asciiTheme="majorBidi" w:hAnsiTheme="majorBidi" w:cstheme="majorBidi"/>
          <w:sz w:val="32"/>
          <w:szCs w:val="32"/>
        </w:rPr>
        <w:t xml:space="preserve">la disparition progressive de la distinction entre les habitudes de vie </w:t>
      </w:r>
      <w:r w:rsidRPr="00C36D0F">
        <w:rPr>
          <w:rFonts w:asciiTheme="majorBidi" w:hAnsiTheme="majorBidi" w:cstheme="majorBidi"/>
          <w:sz w:val="32"/>
          <w:szCs w:val="32"/>
        </w:rPr>
        <w:t xml:space="preserve">des urbains et des ruraux (Fortin, 1971).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Puisqu’il est question de la propagation spatiale de l’urbain (par l’étalement urbain), il est permis d’avancer l’hypothèse selon laquelle l’urbain aurait d’abord formé un domaine, </w:t>
      </w:r>
      <w:r w:rsidRPr="00C36D0F">
        <w:rPr>
          <w:rFonts w:asciiTheme="majorBidi" w:hAnsiTheme="majorBidi" w:cstheme="majorBidi"/>
          <w:sz w:val="32"/>
          <w:szCs w:val="32"/>
        </w:rPr>
        <w:t xml:space="preserve">soit un type d’espaces relativement bien délimités au sein desquels se seraient produits des effets de milieu.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Dans cette optique, l’urbain se présente comme un tout dépassant la somme de ses parties, un tout qui trouve son originalité dans la concentrat</w:t>
      </w:r>
      <w:r w:rsidRPr="00C36D0F">
        <w:rPr>
          <w:rFonts w:asciiTheme="majorBidi" w:hAnsiTheme="majorBidi" w:cstheme="majorBidi"/>
          <w:sz w:val="32"/>
          <w:szCs w:val="32"/>
        </w:rPr>
        <w:t xml:space="preserve">ion spatiale, horizontale ou verticale.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On a aussi situé l’urbain comme une </w:t>
      </w:r>
      <w:r w:rsidRPr="00C36D0F">
        <w:rPr>
          <w:rFonts w:asciiTheme="majorBidi" w:hAnsiTheme="majorBidi" w:cstheme="majorBidi"/>
          <w:b/>
          <w:bCs/>
          <w:sz w:val="32"/>
          <w:szCs w:val="32"/>
        </w:rPr>
        <w:t>qualité d’occupation du sol</w:t>
      </w:r>
      <w:r w:rsidRPr="00C36D0F">
        <w:rPr>
          <w:rFonts w:asciiTheme="majorBidi" w:hAnsiTheme="majorBidi" w:cstheme="majorBidi"/>
          <w:sz w:val="32"/>
          <w:szCs w:val="32"/>
        </w:rPr>
        <w:t xml:space="preserve"> </w:t>
      </w:r>
      <w:r w:rsidRPr="00C36D0F">
        <w:rPr>
          <w:rFonts w:asciiTheme="majorBidi" w:hAnsiTheme="majorBidi" w:cstheme="majorBidi"/>
          <w:sz w:val="32"/>
          <w:szCs w:val="32"/>
        </w:rPr>
        <w:t xml:space="preserve">relevant d’une </w:t>
      </w:r>
      <w:r w:rsidRPr="00C36D0F">
        <w:rPr>
          <w:rFonts w:asciiTheme="majorBidi" w:hAnsiTheme="majorBidi" w:cstheme="majorBidi"/>
          <w:b/>
          <w:bCs/>
          <w:sz w:val="32"/>
          <w:szCs w:val="32"/>
        </w:rPr>
        <w:t>dynamique</w:t>
      </w:r>
      <w:r w:rsidRPr="00C36D0F">
        <w:rPr>
          <w:rFonts w:asciiTheme="majorBidi" w:hAnsiTheme="majorBidi" w:cstheme="majorBidi"/>
          <w:sz w:val="32"/>
          <w:szCs w:val="32"/>
        </w:rPr>
        <w:t xml:space="preserve"> culturelle, politique et économique, par l’entremise de la géographie structurale</w:t>
      </w:r>
      <w:r w:rsidR="00C36D0F">
        <w:rPr>
          <w:rStyle w:val="Appelnotedebasdep"/>
          <w:rFonts w:asciiTheme="majorBidi" w:hAnsiTheme="majorBidi" w:cstheme="majorBidi"/>
          <w:sz w:val="32"/>
          <w:szCs w:val="32"/>
        </w:rPr>
        <w:footnoteReference w:id="2"/>
      </w:r>
      <w:r w:rsidRPr="00C36D0F">
        <w:rPr>
          <w:rFonts w:asciiTheme="majorBidi" w:hAnsiTheme="majorBidi" w:cstheme="majorBidi"/>
          <w:sz w:val="32"/>
          <w:szCs w:val="32"/>
        </w:rPr>
        <w:t>.</w:t>
      </w:r>
      <w:r w:rsidRPr="00C36D0F">
        <w:rPr>
          <w:rFonts w:asciiTheme="majorBidi" w:hAnsiTheme="majorBidi" w:cstheme="majorBidi"/>
          <w:sz w:val="32"/>
          <w:szCs w:val="32"/>
        </w:rPr>
        <w:t xml:space="preserve">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L’urbain s’affiche alors comme un espace de prestige, </w:t>
      </w:r>
      <w:r w:rsidRPr="00C36D0F">
        <w:rPr>
          <w:rFonts w:asciiTheme="majorBidi" w:hAnsiTheme="majorBidi" w:cstheme="majorBidi"/>
          <w:b/>
          <w:bCs/>
          <w:sz w:val="32"/>
          <w:szCs w:val="32"/>
        </w:rPr>
        <w:t>valorisé foncièrement</w:t>
      </w:r>
      <w:r w:rsidRPr="00C36D0F">
        <w:rPr>
          <w:rFonts w:asciiTheme="majorBidi" w:hAnsiTheme="majorBidi" w:cstheme="majorBidi"/>
          <w:sz w:val="32"/>
          <w:szCs w:val="32"/>
        </w:rPr>
        <w:t xml:space="preserve">, au sein duquel les résidants contrôlent </w:t>
      </w:r>
      <w:r w:rsidRPr="00C36D0F">
        <w:rPr>
          <w:rFonts w:asciiTheme="majorBidi" w:hAnsiTheme="majorBidi" w:cstheme="majorBidi"/>
          <w:sz w:val="32"/>
          <w:szCs w:val="32"/>
        </w:rPr>
        <w:t xml:space="preserve">leur </w:t>
      </w:r>
      <w:r w:rsidRPr="00C36D0F">
        <w:rPr>
          <w:rFonts w:asciiTheme="majorBidi" w:hAnsiTheme="majorBidi" w:cstheme="majorBidi"/>
          <w:b/>
          <w:bCs/>
          <w:sz w:val="32"/>
          <w:szCs w:val="32"/>
        </w:rPr>
        <w:t>mobilité</w:t>
      </w:r>
      <w:r w:rsidRPr="00C36D0F">
        <w:rPr>
          <w:rFonts w:asciiTheme="majorBidi" w:hAnsiTheme="majorBidi" w:cstheme="majorBidi"/>
          <w:sz w:val="32"/>
          <w:szCs w:val="32"/>
        </w:rPr>
        <w:t>.</w:t>
      </w:r>
    </w:p>
    <w:p w:rsid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Le critère de différenciation des territoires serait donc </w:t>
      </w:r>
      <w:r w:rsidRPr="00C36D0F">
        <w:rPr>
          <w:rFonts w:asciiTheme="majorBidi" w:hAnsiTheme="majorBidi" w:cstheme="majorBidi"/>
          <w:sz w:val="32"/>
          <w:szCs w:val="32"/>
        </w:rPr>
        <w:t xml:space="preserve">la </w:t>
      </w:r>
      <w:r w:rsidRPr="00C36D0F">
        <w:rPr>
          <w:rFonts w:asciiTheme="majorBidi" w:hAnsiTheme="majorBidi" w:cstheme="majorBidi"/>
          <w:b/>
          <w:bCs/>
          <w:sz w:val="32"/>
          <w:szCs w:val="32"/>
        </w:rPr>
        <w:t>valorisation foncière</w:t>
      </w:r>
      <w:r w:rsidRPr="00C36D0F">
        <w:rPr>
          <w:rFonts w:asciiTheme="majorBidi" w:hAnsiTheme="majorBidi" w:cstheme="majorBidi"/>
          <w:sz w:val="32"/>
          <w:szCs w:val="32"/>
        </w:rPr>
        <w:t>, qui découle du cadre culturel, et la</w:t>
      </w:r>
      <w:r w:rsidRPr="00C36D0F">
        <w:rPr>
          <w:rFonts w:asciiTheme="majorBidi" w:hAnsiTheme="majorBidi" w:cstheme="majorBidi"/>
          <w:sz w:val="32"/>
          <w:szCs w:val="32"/>
        </w:rPr>
        <w:t xml:space="preserve"> qualité des aménagements concrets, qui témoigne du pouvoir économique et politique</w:t>
      </w:r>
      <w:r w:rsidR="00C36D0F">
        <w:rPr>
          <w:rFonts w:asciiTheme="majorBidi" w:hAnsiTheme="majorBidi" w:cstheme="majorBidi"/>
          <w:sz w:val="32"/>
          <w:szCs w:val="32"/>
        </w:rPr>
        <w:t>.</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Les nappes urbaines qui s’étalent et quadrillent les territoires deviennent particulièrement difficiles à lire, à décrire et à nommer (Debarbieux, 2008).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L’évolution de</w:t>
      </w:r>
      <w:r w:rsidRPr="00C36D0F">
        <w:rPr>
          <w:rFonts w:asciiTheme="majorBidi" w:hAnsiTheme="majorBidi" w:cstheme="majorBidi"/>
          <w:sz w:val="32"/>
          <w:szCs w:val="32"/>
        </w:rPr>
        <w:t xml:space="preserve">s modèles explicatifs de la ville, de l’école de Chicago à celle de Los Angeles, illustre la structuration urbaine plus souple, </w:t>
      </w:r>
      <w:r w:rsidRPr="00C36D0F">
        <w:rPr>
          <w:rFonts w:asciiTheme="majorBidi" w:hAnsiTheme="majorBidi" w:cstheme="majorBidi"/>
          <w:sz w:val="32"/>
          <w:szCs w:val="32"/>
        </w:rPr>
        <w:lastRenderedPageBreak/>
        <w:t xml:space="preserve">qui se met en place au cours du XXe siècle, de même que le changement d’échelle du phénomène urbain (Sénécal, 2007).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La fragmentation spatiale et la basse densité semblent être les maîtres mots de la ville métropolisée. </w:t>
      </w:r>
    </w:p>
    <w:p w:rsidR="00C36D0F" w:rsidRPr="00C36D0F" w:rsidRDefault="00C36D0F" w:rsidP="00C36D0F">
      <w:pPr>
        <w:rPr>
          <w:rFonts w:asciiTheme="majorBidi" w:hAnsiTheme="majorBidi" w:cstheme="majorBidi"/>
          <w:b/>
          <w:bCs/>
          <w:sz w:val="32"/>
          <w:szCs w:val="32"/>
        </w:rPr>
      </w:pPr>
      <w:r w:rsidRPr="00C36D0F">
        <w:rPr>
          <w:rFonts w:asciiTheme="majorBidi" w:hAnsiTheme="majorBidi" w:cstheme="majorBidi"/>
          <w:b/>
          <w:bCs/>
          <w:sz w:val="32"/>
          <w:szCs w:val="32"/>
        </w:rPr>
        <w:t>3.</w:t>
      </w:r>
      <w:r w:rsidRPr="00C36D0F">
        <w:rPr>
          <w:rFonts w:ascii="Calibri" w:eastAsia="+mj-ea" w:hAnsi="Calibri" w:cs="+mj-cs"/>
          <w:b/>
          <w:bCs/>
          <w:color w:val="000000"/>
          <w:kern w:val="24"/>
          <w:sz w:val="88"/>
          <w:szCs w:val="88"/>
        </w:rPr>
        <w:t xml:space="preserve"> </w:t>
      </w:r>
      <w:r w:rsidRPr="00C36D0F">
        <w:rPr>
          <w:rFonts w:asciiTheme="majorBidi" w:hAnsiTheme="majorBidi" w:cstheme="majorBidi"/>
          <w:b/>
          <w:bCs/>
          <w:sz w:val="32"/>
          <w:szCs w:val="32"/>
        </w:rPr>
        <w:t>Les milieux transitionnels.</w:t>
      </w:r>
    </w:p>
    <w:p w:rsidR="00000000" w:rsidRPr="00C36D0F" w:rsidRDefault="00C36D0F" w:rsidP="00C36D0F">
      <w:pPr>
        <w:rPr>
          <w:rFonts w:asciiTheme="majorBidi" w:hAnsiTheme="majorBidi" w:cstheme="majorBidi"/>
          <w:sz w:val="32"/>
          <w:szCs w:val="32"/>
        </w:rPr>
      </w:pPr>
      <w:r>
        <w:rPr>
          <w:rFonts w:asciiTheme="majorBidi" w:hAnsiTheme="majorBidi" w:cstheme="majorBidi"/>
          <w:sz w:val="32"/>
          <w:szCs w:val="32"/>
        </w:rPr>
        <w:t>L</w:t>
      </w:r>
      <w:r w:rsidR="00587A76" w:rsidRPr="00C36D0F">
        <w:rPr>
          <w:rFonts w:asciiTheme="majorBidi" w:hAnsiTheme="majorBidi" w:cstheme="majorBidi"/>
          <w:sz w:val="32"/>
          <w:szCs w:val="32"/>
        </w:rPr>
        <w:t>es milieux transitionnels constituent la nouvelle frontière de la recherche sur les dynamiques territoriales</w:t>
      </w:r>
      <w:r>
        <w:rPr>
          <w:rStyle w:val="Appelnotedebasdep"/>
          <w:rFonts w:asciiTheme="majorBidi" w:hAnsiTheme="majorBidi" w:cstheme="majorBidi"/>
          <w:sz w:val="32"/>
          <w:szCs w:val="32"/>
        </w:rPr>
        <w:footnoteReference w:id="3"/>
      </w:r>
      <w:r w:rsidR="00587A76" w:rsidRPr="00C36D0F">
        <w:rPr>
          <w:rFonts w:asciiTheme="majorBidi" w:hAnsiTheme="majorBidi" w:cstheme="majorBidi"/>
          <w:sz w:val="32"/>
          <w:szCs w:val="32"/>
        </w:rPr>
        <w:t xml:space="preserve">. </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 xml:space="preserve">Ces milieux peuvent être définis comme étant des territoires dont le </w:t>
      </w:r>
      <w:r w:rsidRPr="00C36D0F">
        <w:rPr>
          <w:rFonts w:asciiTheme="majorBidi" w:hAnsiTheme="majorBidi" w:cstheme="majorBidi"/>
          <w:b/>
          <w:bCs/>
          <w:sz w:val="32"/>
          <w:szCs w:val="32"/>
        </w:rPr>
        <w:t>paysage</w:t>
      </w:r>
      <w:r w:rsidRPr="00C36D0F">
        <w:rPr>
          <w:rFonts w:asciiTheme="majorBidi" w:hAnsiTheme="majorBidi" w:cstheme="majorBidi"/>
          <w:sz w:val="32"/>
          <w:szCs w:val="32"/>
        </w:rPr>
        <w:t xml:space="preserve">, </w:t>
      </w:r>
      <w:r w:rsidRPr="00C36D0F">
        <w:rPr>
          <w:rFonts w:asciiTheme="majorBidi" w:hAnsiTheme="majorBidi" w:cstheme="majorBidi"/>
          <w:b/>
          <w:bCs/>
          <w:sz w:val="32"/>
          <w:szCs w:val="32"/>
        </w:rPr>
        <w:t>l’architecture</w:t>
      </w:r>
      <w:r w:rsidRPr="00C36D0F">
        <w:rPr>
          <w:rFonts w:asciiTheme="majorBidi" w:hAnsiTheme="majorBidi" w:cstheme="majorBidi"/>
          <w:sz w:val="32"/>
          <w:szCs w:val="32"/>
        </w:rPr>
        <w:t xml:space="preserve"> </w:t>
      </w:r>
      <w:r w:rsidRPr="00C36D0F">
        <w:rPr>
          <w:rFonts w:asciiTheme="majorBidi" w:hAnsiTheme="majorBidi" w:cstheme="majorBidi"/>
          <w:sz w:val="32"/>
          <w:szCs w:val="32"/>
        </w:rPr>
        <w:t xml:space="preserve">et </w:t>
      </w:r>
      <w:r w:rsidRPr="00C36D0F">
        <w:rPr>
          <w:rFonts w:asciiTheme="majorBidi" w:hAnsiTheme="majorBidi" w:cstheme="majorBidi"/>
          <w:b/>
          <w:bCs/>
          <w:sz w:val="32"/>
          <w:szCs w:val="32"/>
        </w:rPr>
        <w:t>l’utilisation du sol</w:t>
      </w:r>
      <w:r w:rsidRPr="00C36D0F">
        <w:rPr>
          <w:rFonts w:asciiTheme="majorBidi" w:hAnsiTheme="majorBidi" w:cstheme="majorBidi"/>
          <w:sz w:val="32"/>
          <w:szCs w:val="32"/>
        </w:rPr>
        <w:t xml:space="preserve"> </w:t>
      </w:r>
      <w:r w:rsidRPr="00C36D0F">
        <w:rPr>
          <w:rFonts w:asciiTheme="majorBidi" w:hAnsiTheme="majorBidi" w:cstheme="majorBidi"/>
          <w:sz w:val="32"/>
          <w:szCs w:val="32"/>
        </w:rPr>
        <w:t xml:space="preserve">sont divers et s’écartent des idéaux types du rural et de l’urbain. En termes de catégories </w:t>
      </w:r>
      <w:r w:rsidRPr="00C36D0F">
        <w:rPr>
          <w:rFonts w:asciiTheme="majorBidi" w:hAnsiTheme="majorBidi" w:cstheme="majorBidi"/>
          <w:sz w:val="32"/>
          <w:szCs w:val="32"/>
        </w:rPr>
        <w:t>géographiques, ils correspondraient principalement aux zones d’influence métropolitaine (ZIM) fortes et modérées.</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Les milieux transitionnels, ou le périurbain au sens large, ne constitueraient pas simplement un front périurbain en phase d’urbanisation, ma</w:t>
      </w:r>
      <w:r w:rsidRPr="00C36D0F">
        <w:rPr>
          <w:rFonts w:asciiTheme="majorBidi" w:hAnsiTheme="majorBidi" w:cstheme="majorBidi"/>
          <w:sz w:val="32"/>
          <w:szCs w:val="32"/>
        </w:rPr>
        <w:t xml:space="preserve">is un espace appelé à demeurer </w:t>
      </w:r>
      <w:r w:rsidRPr="00C36D0F">
        <w:rPr>
          <w:rFonts w:asciiTheme="majorBidi" w:hAnsiTheme="majorBidi" w:cstheme="majorBidi"/>
          <w:b/>
          <w:bCs/>
          <w:sz w:val="32"/>
          <w:szCs w:val="32"/>
        </w:rPr>
        <w:t>hétérogène</w:t>
      </w:r>
      <w:r w:rsidRPr="00C36D0F">
        <w:rPr>
          <w:rFonts w:asciiTheme="majorBidi" w:hAnsiTheme="majorBidi" w:cstheme="majorBidi"/>
          <w:sz w:val="32"/>
          <w:szCs w:val="32"/>
        </w:rPr>
        <w:t xml:space="preserve"> et </w:t>
      </w:r>
      <w:r w:rsidRPr="00C36D0F">
        <w:rPr>
          <w:rFonts w:asciiTheme="majorBidi" w:hAnsiTheme="majorBidi" w:cstheme="majorBidi"/>
          <w:b/>
          <w:bCs/>
          <w:sz w:val="32"/>
          <w:szCs w:val="32"/>
        </w:rPr>
        <w:t>complexe</w:t>
      </w:r>
      <w:r w:rsidRPr="00C36D0F">
        <w:rPr>
          <w:rFonts w:asciiTheme="majorBidi" w:hAnsiTheme="majorBidi" w:cstheme="majorBidi"/>
          <w:sz w:val="32"/>
          <w:szCs w:val="32"/>
        </w:rPr>
        <w:t xml:space="preserve">. </w:t>
      </w:r>
    </w:p>
    <w:p w:rsidR="00000000" w:rsidRDefault="00C36D0F" w:rsidP="00C36D0F">
      <w:pPr>
        <w:rPr>
          <w:rFonts w:asciiTheme="majorBidi" w:hAnsiTheme="majorBidi" w:cstheme="majorBidi"/>
          <w:b/>
          <w:bCs/>
          <w:sz w:val="32"/>
          <w:szCs w:val="32"/>
        </w:rPr>
      </w:pPr>
      <w:r w:rsidRPr="00C36D0F">
        <w:rPr>
          <w:rFonts w:asciiTheme="majorBidi" w:hAnsiTheme="majorBidi" w:cstheme="majorBidi"/>
          <w:b/>
          <w:bCs/>
          <w:sz w:val="32"/>
          <w:szCs w:val="32"/>
        </w:rPr>
        <w:t>4.</w:t>
      </w:r>
      <w:r w:rsidRPr="00C36D0F">
        <w:rPr>
          <w:rFonts w:ascii="Calibri" w:eastAsia="+mj-ea" w:hAnsi="Calibri" w:cs="+mj-cs"/>
          <w:b/>
          <w:bCs/>
          <w:color w:val="000000"/>
          <w:kern w:val="24"/>
          <w:sz w:val="88"/>
          <w:szCs w:val="88"/>
        </w:rPr>
        <w:t xml:space="preserve"> </w:t>
      </w:r>
      <w:r w:rsidRPr="00C36D0F">
        <w:rPr>
          <w:rFonts w:asciiTheme="majorBidi" w:hAnsiTheme="majorBidi" w:cstheme="majorBidi"/>
          <w:b/>
          <w:bCs/>
          <w:sz w:val="32"/>
          <w:szCs w:val="32"/>
        </w:rPr>
        <w:t>La nature dans la ville</w:t>
      </w:r>
      <w:r>
        <w:rPr>
          <w:rFonts w:asciiTheme="majorBidi" w:hAnsiTheme="majorBidi" w:cstheme="majorBidi"/>
          <w:b/>
          <w:bCs/>
          <w:sz w:val="32"/>
          <w:szCs w:val="32"/>
        </w:rPr>
        <w:t xml:space="preserve"> (voir Chap 9).</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La question de la nature dans la ville est depuis une vingtaine d’années au centre de bien des débats politiques et au cœur des préoccupations des aménageurs (Arnould et coll</w:t>
      </w:r>
      <w:r w:rsidRPr="00C36D0F">
        <w:rPr>
          <w:rFonts w:asciiTheme="majorBidi" w:hAnsiTheme="majorBidi" w:cstheme="majorBidi"/>
          <w:sz w:val="32"/>
          <w:szCs w:val="32"/>
        </w:rPr>
        <w:t>., 2009).</w:t>
      </w:r>
    </w:p>
    <w:p w:rsidR="00000000" w:rsidRPr="00C36D0F" w:rsidRDefault="00587A76" w:rsidP="00C36D0F">
      <w:pPr>
        <w:rPr>
          <w:rFonts w:asciiTheme="majorBidi" w:hAnsiTheme="majorBidi" w:cstheme="majorBidi"/>
          <w:sz w:val="32"/>
          <w:szCs w:val="32"/>
        </w:rPr>
      </w:pPr>
      <w:r w:rsidRPr="00C36D0F">
        <w:rPr>
          <w:rFonts w:asciiTheme="majorBidi" w:hAnsiTheme="majorBidi" w:cstheme="majorBidi"/>
          <w:sz w:val="32"/>
          <w:szCs w:val="32"/>
        </w:rPr>
        <w:t>Pas une semaine sans que la presse se fasse l’écho de telle ou telle ville ayant ici construit un écoquartier, là transformé une friche industrielle en un vaste jardin participatif, ailleurs aménagé les berges d’une rivière pour en faire un lieu</w:t>
      </w:r>
      <w:r w:rsidRPr="00C36D0F">
        <w:rPr>
          <w:rFonts w:asciiTheme="majorBidi" w:hAnsiTheme="majorBidi" w:cstheme="majorBidi"/>
          <w:sz w:val="32"/>
          <w:szCs w:val="32"/>
        </w:rPr>
        <w:t xml:space="preserve"> de promenade au sein d’un jardin d’eau.  </w:t>
      </w:r>
    </w:p>
    <w:p w:rsidR="00C36D0F" w:rsidRPr="00C36D0F" w:rsidRDefault="00C36D0F" w:rsidP="00C36D0F">
      <w:pPr>
        <w:rPr>
          <w:rFonts w:asciiTheme="majorBidi" w:hAnsiTheme="majorBidi" w:cstheme="majorBidi"/>
          <w:sz w:val="32"/>
          <w:szCs w:val="32"/>
        </w:rPr>
      </w:pPr>
      <w:r w:rsidRPr="00C36D0F">
        <w:rPr>
          <w:rFonts w:asciiTheme="majorBidi" w:hAnsiTheme="majorBidi" w:cstheme="majorBidi"/>
          <w:sz w:val="32"/>
          <w:szCs w:val="32"/>
        </w:rPr>
        <w:lastRenderedPageBreak/>
        <w:t>Le grand retour de la nature en ville va de pair avec le développement durable urbain, lequel est vanté, mis en scène, à travers des notions telles que ville verte, durable, compacte ou encore recyclable.</w:t>
      </w:r>
    </w:p>
    <w:p w:rsidR="00C36D0F" w:rsidRPr="00C36D0F" w:rsidRDefault="00C36D0F" w:rsidP="00C36D0F">
      <w:pPr>
        <w:rPr>
          <w:rFonts w:asciiTheme="majorBidi" w:hAnsiTheme="majorBidi" w:cstheme="majorBidi"/>
          <w:sz w:val="32"/>
          <w:szCs w:val="32"/>
        </w:rPr>
      </w:pPr>
    </w:p>
    <w:p w:rsidR="00C36D0F" w:rsidRPr="00C36D0F" w:rsidRDefault="00C36D0F" w:rsidP="00C36D0F">
      <w:pPr>
        <w:rPr>
          <w:rFonts w:asciiTheme="majorBidi" w:hAnsiTheme="majorBidi" w:cstheme="majorBidi"/>
          <w:b/>
          <w:bCs/>
          <w:sz w:val="32"/>
          <w:szCs w:val="32"/>
        </w:rPr>
      </w:pPr>
    </w:p>
    <w:p w:rsidR="00C36D0F" w:rsidRDefault="00C36D0F" w:rsidP="00C36D0F"/>
    <w:p w:rsidR="00C36D0F" w:rsidRDefault="00C36D0F" w:rsidP="00C36D0F"/>
    <w:sectPr w:rsidR="00C36D0F" w:rsidSect="00907C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76" w:rsidRDefault="00587A76" w:rsidP="00C36D0F">
      <w:pPr>
        <w:spacing w:after="0" w:line="240" w:lineRule="auto"/>
      </w:pPr>
      <w:r>
        <w:separator/>
      </w:r>
    </w:p>
  </w:endnote>
  <w:endnote w:type="continuationSeparator" w:id="1">
    <w:p w:rsidR="00587A76" w:rsidRDefault="00587A76" w:rsidP="00C36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23329"/>
      <w:docPartObj>
        <w:docPartGallery w:val="Page Numbers (Bottom of Page)"/>
        <w:docPartUnique/>
      </w:docPartObj>
    </w:sdtPr>
    <w:sdtContent>
      <w:p w:rsidR="00C36D0F" w:rsidRDefault="00C36D0F">
        <w:pPr>
          <w:pStyle w:val="Pieddepage"/>
        </w:pPr>
        <w:r>
          <w:rPr>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C36D0F" w:rsidRDefault="00C36D0F">
                    <w:pPr>
                      <w:jc w:val="center"/>
                    </w:pPr>
                    <w:fldSimple w:instr=" PAGE    \* MERGEFORMAT ">
                      <w:r w:rsidRPr="00C36D0F">
                        <w:rPr>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76" w:rsidRDefault="00587A76" w:rsidP="00C36D0F">
      <w:pPr>
        <w:spacing w:after="0" w:line="240" w:lineRule="auto"/>
      </w:pPr>
      <w:r>
        <w:separator/>
      </w:r>
    </w:p>
  </w:footnote>
  <w:footnote w:type="continuationSeparator" w:id="1">
    <w:p w:rsidR="00587A76" w:rsidRDefault="00587A76" w:rsidP="00C36D0F">
      <w:pPr>
        <w:spacing w:after="0" w:line="240" w:lineRule="auto"/>
      </w:pPr>
      <w:r>
        <w:continuationSeparator/>
      </w:r>
    </w:p>
  </w:footnote>
  <w:footnote w:id="2">
    <w:p w:rsidR="00C36D0F" w:rsidRDefault="00C36D0F">
      <w:pPr>
        <w:pStyle w:val="Notedebasdepage"/>
      </w:pPr>
      <w:r>
        <w:rPr>
          <w:rStyle w:val="Appelnotedebasdep"/>
        </w:rPr>
        <w:footnoteRef/>
      </w:r>
      <w:r>
        <w:t xml:space="preserve"> </w:t>
      </w:r>
      <w:r w:rsidRPr="00C36D0F">
        <w:rPr>
          <w:rFonts w:asciiTheme="majorBidi" w:hAnsiTheme="majorBidi" w:cstheme="majorBidi"/>
        </w:rPr>
        <w:t>Desmarais et Ritchot, 2000; Gagnon, 2008</w:t>
      </w:r>
    </w:p>
  </w:footnote>
  <w:footnote w:id="3">
    <w:p w:rsidR="00C36D0F" w:rsidRPr="00C36D0F" w:rsidRDefault="00C36D0F">
      <w:pPr>
        <w:pStyle w:val="Notedebasdepage"/>
      </w:pPr>
      <w:r>
        <w:rPr>
          <w:rStyle w:val="Appelnotedebasdep"/>
        </w:rPr>
        <w:footnoteRef/>
      </w:r>
      <w:r>
        <w:t xml:space="preserve"> </w:t>
      </w:r>
      <w:r w:rsidRPr="00C36D0F">
        <w:rPr>
          <w:rFonts w:asciiTheme="majorBidi" w:hAnsiTheme="majorBidi" w:cstheme="majorBidi"/>
        </w:rPr>
        <w:t>Dumont et Hellier,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mj-ea" w:hAnsi="Calibri" w:cs="+mj-cs"/>
        <w:b/>
        <w:bCs/>
        <w:color w:val="000000"/>
        <w:kern w:val="24"/>
        <w:sz w:val="20"/>
        <w:szCs w:val="20"/>
      </w:rPr>
      <w:alias w:val="Titre"/>
      <w:id w:val="77887899"/>
      <w:placeholder>
        <w:docPart w:val="B319B8E61EA6481287522D4B7010BBCC"/>
      </w:placeholder>
      <w:dataBinding w:prefixMappings="xmlns:ns0='http://schemas.openxmlformats.org/package/2006/metadata/core-properties' xmlns:ns1='http://purl.org/dc/elements/1.1/'" w:xpath="/ns0:coreProperties[1]/ns1:title[1]" w:storeItemID="{6C3C8BC8-F283-45AE-878A-BAB7291924A1}"/>
      <w:text/>
    </w:sdtPr>
    <w:sdtContent>
      <w:p w:rsidR="00C36D0F" w:rsidRDefault="00C36D0F" w:rsidP="00C36D0F">
        <w:pPr>
          <w:pStyle w:val="En-tte"/>
          <w:tabs>
            <w:tab w:val="left" w:pos="2580"/>
            <w:tab w:val="left" w:pos="2985"/>
          </w:tabs>
          <w:jc w:val="right"/>
          <w:rPr>
            <w:b/>
            <w:bCs/>
            <w:color w:val="1F497D" w:themeColor="text2"/>
            <w:sz w:val="28"/>
            <w:szCs w:val="28"/>
          </w:rPr>
        </w:pPr>
        <w:r w:rsidRPr="00C36D0F">
          <w:rPr>
            <w:rFonts w:ascii="Calibri" w:eastAsia="+mj-ea" w:hAnsi="Calibri" w:cs="+mj-cs"/>
            <w:b/>
            <w:bCs/>
            <w:color w:val="000000"/>
            <w:kern w:val="24"/>
            <w:sz w:val="20"/>
            <w:szCs w:val="20"/>
          </w:rPr>
          <w:t>HABITAT ET POLITIQUES DE LA VILLE</w:t>
        </w:r>
      </w:p>
    </w:sdtContent>
  </w:sdt>
  <w:sdt>
    <w:sdtPr>
      <w:rPr>
        <w:rFonts w:asciiTheme="majorBidi" w:eastAsia="+mj-ea" w:hAnsiTheme="majorBidi" w:cstheme="majorBidi"/>
        <w:color w:val="000000"/>
        <w:kern w:val="24"/>
        <w:sz w:val="20"/>
        <w:szCs w:val="20"/>
      </w:rPr>
      <w:alias w:val="Sous-titre"/>
      <w:id w:val="77887903"/>
      <w:placeholder>
        <w:docPart w:val="B432B8BA69C44B7AA4B2D04932DFE498"/>
      </w:placeholder>
      <w:dataBinding w:prefixMappings="xmlns:ns0='http://schemas.openxmlformats.org/package/2006/metadata/core-properties' xmlns:ns1='http://purl.org/dc/elements/1.1/'" w:xpath="/ns0:coreProperties[1]/ns1:subject[1]" w:storeItemID="{6C3C8BC8-F283-45AE-878A-BAB7291924A1}"/>
      <w:text/>
    </w:sdtPr>
    <w:sdtContent>
      <w:p w:rsidR="00C36D0F" w:rsidRDefault="00C36D0F" w:rsidP="00C36D0F">
        <w:pPr>
          <w:pStyle w:val="En-tte"/>
          <w:tabs>
            <w:tab w:val="left" w:pos="2580"/>
            <w:tab w:val="left" w:pos="2985"/>
          </w:tabs>
          <w:jc w:val="right"/>
          <w:rPr>
            <w:color w:val="4F81BD" w:themeColor="accent1"/>
          </w:rPr>
        </w:pPr>
        <w:r w:rsidRPr="00C36D0F">
          <w:rPr>
            <w:rFonts w:asciiTheme="majorBidi" w:eastAsia="+mj-ea" w:hAnsiTheme="majorBidi" w:cstheme="majorBidi"/>
            <w:color w:val="000000"/>
            <w:kern w:val="24"/>
            <w:sz w:val="20"/>
            <w:szCs w:val="20"/>
          </w:rPr>
          <w:t>Chap 4:Du rural à l’urbain</w:t>
        </w:r>
      </w:p>
    </w:sdtContent>
  </w:sdt>
  <w:sdt>
    <w:sdtPr>
      <w:rPr>
        <w:color w:val="808080" w:themeColor="text1" w:themeTint="7F"/>
      </w:rPr>
      <w:alias w:val="Auteur"/>
      <w:id w:val="77887908"/>
      <w:placeholder>
        <w:docPart w:val="70E5CB500DCF4907B5EE3D6B73D90652"/>
      </w:placeholder>
      <w:dataBinding w:prefixMappings="xmlns:ns0='http://schemas.openxmlformats.org/package/2006/metadata/core-properties' xmlns:ns1='http://purl.org/dc/elements/1.1/'" w:xpath="/ns0:coreProperties[1]/ns1:creator[1]" w:storeItemID="{6C3C8BC8-F283-45AE-878A-BAB7291924A1}"/>
      <w:text/>
    </w:sdtPr>
    <w:sdtContent>
      <w:p w:rsidR="00C36D0F" w:rsidRDefault="00C36D0F" w:rsidP="00C36D0F">
        <w:pPr>
          <w:pStyle w:val="En-tte"/>
          <w:pBdr>
            <w:bottom w:val="single" w:sz="4" w:space="1" w:color="A5A5A5" w:themeColor="background1" w:themeShade="A5"/>
          </w:pBdr>
          <w:tabs>
            <w:tab w:val="left" w:pos="2580"/>
            <w:tab w:val="left" w:pos="2985"/>
          </w:tabs>
          <w:jc w:val="right"/>
          <w:rPr>
            <w:color w:val="808080" w:themeColor="text1" w:themeTint="7F"/>
          </w:rPr>
        </w:pPr>
        <w:r>
          <w:rPr>
            <w:color w:val="808080" w:themeColor="text1" w:themeTint="7F"/>
          </w:rPr>
          <w:t>BOUFENARA K</w:t>
        </w:r>
      </w:p>
    </w:sdtContent>
  </w:sdt>
  <w:p w:rsidR="00C36D0F" w:rsidRDefault="00C36D0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13B5"/>
    <w:multiLevelType w:val="hybridMultilevel"/>
    <w:tmpl w:val="7F242398"/>
    <w:lvl w:ilvl="0" w:tplc="C7467E5A">
      <w:start w:val="1"/>
      <w:numFmt w:val="bullet"/>
      <w:lvlText w:val="•"/>
      <w:lvlJc w:val="left"/>
      <w:pPr>
        <w:tabs>
          <w:tab w:val="num" w:pos="720"/>
        </w:tabs>
        <w:ind w:left="720" w:hanging="360"/>
      </w:pPr>
      <w:rPr>
        <w:rFonts w:ascii="Arial" w:hAnsi="Arial" w:hint="default"/>
      </w:rPr>
    </w:lvl>
    <w:lvl w:ilvl="1" w:tplc="D69A4AA8" w:tentative="1">
      <w:start w:val="1"/>
      <w:numFmt w:val="bullet"/>
      <w:lvlText w:val="•"/>
      <w:lvlJc w:val="left"/>
      <w:pPr>
        <w:tabs>
          <w:tab w:val="num" w:pos="1440"/>
        </w:tabs>
        <w:ind w:left="1440" w:hanging="360"/>
      </w:pPr>
      <w:rPr>
        <w:rFonts w:ascii="Arial" w:hAnsi="Arial" w:hint="default"/>
      </w:rPr>
    </w:lvl>
    <w:lvl w:ilvl="2" w:tplc="724AFAFC" w:tentative="1">
      <w:start w:val="1"/>
      <w:numFmt w:val="bullet"/>
      <w:lvlText w:val="•"/>
      <w:lvlJc w:val="left"/>
      <w:pPr>
        <w:tabs>
          <w:tab w:val="num" w:pos="2160"/>
        </w:tabs>
        <w:ind w:left="2160" w:hanging="360"/>
      </w:pPr>
      <w:rPr>
        <w:rFonts w:ascii="Arial" w:hAnsi="Arial" w:hint="default"/>
      </w:rPr>
    </w:lvl>
    <w:lvl w:ilvl="3" w:tplc="580C486C" w:tentative="1">
      <w:start w:val="1"/>
      <w:numFmt w:val="bullet"/>
      <w:lvlText w:val="•"/>
      <w:lvlJc w:val="left"/>
      <w:pPr>
        <w:tabs>
          <w:tab w:val="num" w:pos="2880"/>
        </w:tabs>
        <w:ind w:left="2880" w:hanging="360"/>
      </w:pPr>
      <w:rPr>
        <w:rFonts w:ascii="Arial" w:hAnsi="Arial" w:hint="default"/>
      </w:rPr>
    </w:lvl>
    <w:lvl w:ilvl="4" w:tplc="C6AE79B6" w:tentative="1">
      <w:start w:val="1"/>
      <w:numFmt w:val="bullet"/>
      <w:lvlText w:val="•"/>
      <w:lvlJc w:val="left"/>
      <w:pPr>
        <w:tabs>
          <w:tab w:val="num" w:pos="3600"/>
        </w:tabs>
        <w:ind w:left="3600" w:hanging="360"/>
      </w:pPr>
      <w:rPr>
        <w:rFonts w:ascii="Arial" w:hAnsi="Arial" w:hint="default"/>
      </w:rPr>
    </w:lvl>
    <w:lvl w:ilvl="5" w:tplc="CC64B446" w:tentative="1">
      <w:start w:val="1"/>
      <w:numFmt w:val="bullet"/>
      <w:lvlText w:val="•"/>
      <w:lvlJc w:val="left"/>
      <w:pPr>
        <w:tabs>
          <w:tab w:val="num" w:pos="4320"/>
        </w:tabs>
        <w:ind w:left="4320" w:hanging="360"/>
      </w:pPr>
      <w:rPr>
        <w:rFonts w:ascii="Arial" w:hAnsi="Arial" w:hint="default"/>
      </w:rPr>
    </w:lvl>
    <w:lvl w:ilvl="6" w:tplc="90D85C28" w:tentative="1">
      <w:start w:val="1"/>
      <w:numFmt w:val="bullet"/>
      <w:lvlText w:val="•"/>
      <w:lvlJc w:val="left"/>
      <w:pPr>
        <w:tabs>
          <w:tab w:val="num" w:pos="5040"/>
        </w:tabs>
        <w:ind w:left="5040" w:hanging="360"/>
      </w:pPr>
      <w:rPr>
        <w:rFonts w:ascii="Arial" w:hAnsi="Arial" w:hint="default"/>
      </w:rPr>
    </w:lvl>
    <w:lvl w:ilvl="7" w:tplc="F098A0AC" w:tentative="1">
      <w:start w:val="1"/>
      <w:numFmt w:val="bullet"/>
      <w:lvlText w:val="•"/>
      <w:lvlJc w:val="left"/>
      <w:pPr>
        <w:tabs>
          <w:tab w:val="num" w:pos="5760"/>
        </w:tabs>
        <w:ind w:left="5760" w:hanging="360"/>
      </w:pPr>
      <w:rPr>
        <w:rFonts w:ascii="Arial" w:hAnsi="Arial" w:hint="default"/>
      </w:rPr>
    </w:lvl>
    <w:lvl w:ilvl="8" w:tplc="95DC8D7A" w:tentative="1">
      <w:start w:val="1"/>
      <w:numFmt w:val="bullet"/>
      <w:lvlText w:val="•"/>
      <w:lvlJc w:val="left"/>
      <w:pPr>
        <w:tabs>
          <w:tab w:val="num" w:pos="6480"/>
        </w:tabs>
        <w:ind w:left="6480" w:hanging="360"/>
      </w:pPr>
      <w:rPr>
        <w:rFonts w:ascii="Arial" w:hAnsi="Arial" w:hint="default"/>
      </w:rPr>
    </w:lvl>
  </w:abstractNum>
  <w:abstractNum w:abstractNumId="1">
    <w:nsid w:val="31AD7145"/>
    <w:multiLevelType w:val="hybridMultilevel"/>
    <w:tmpl w:val="64DEED70"/>
    <w:lvl w:ilvl="0" w:tplc="6FD26E8C">
      <w:start w:val="1"/>
      <w:numFmt w:val="bullet"/>
      <w:lvlText w:val="•"/>
      <w:lvlJc w:val="left"/>
      <w:pPr>
        <w:tabs>
          <w:tab w:val="num" w:pos="720"/>
        </w:tabs>
        <w:ind w:left="720" w:hanging="360"/>
      </w:pPr>
      <w:rPr>
        <w:rFonts w:ascii="Arial" w:hAnsi="Arial" w:hint="default"/>
      </w:rPr>
    </w:lvl>
    <w:lvl w:ilvl="1" w:tplc="61DA5294" w:tentative="1">
      <w:start w:val="1"/>
      <w:numFmt w:val="bullet"/>
      <w:lvlText w:val="•"/>
      <w:lvlJc w:val="left"/>
      <w:pPr>
        <w:tabs>
          <w:tab w:val="num" w:pos="1440"/>
        </w:tabs>
        <w:ind w:left="1440" w:hanging="360"/>
      </w:pPr>
      <w:rPr>
        <w:rFonts w:ascii="Arial" w:hAnsi="Arial" w:hint="default"/>
      </w:rPr>
    </w:lvl>
    <w:lvl w:ilvl="2" w:tplc="54EA2152" w:tentative="1">
      <w:start w:val="1"/>
      <w:numFmt w:val="bullet"/>
      <w:lvlText w:val="•"/>
      <w:lvlJc w:val="left"/>
      <w:pPr>
        <w:tabs>
          <w:tab w:val="num" w:pos="2160"/>
        </w:tabs>
        <w:ind w:left="2160" w:hanging="360"/>
      </w:pPr>
      <w:rPr>
        <w:rFonts w:ascii="Arial" w:hAnsi="Arial" w:hint="default"/>
      </w:rPr>
    </w:lvl>
    <w:lvl w:ilvl="3" w:tplc="A514679C" w:tentative="1">
      <w:start w:val="1"/>
      <w:numFmt w:val="bullet"/>
      <w:lvlText w:val="•"/>
      <w:lvlJc w:val="left"/>
      <w:pPr>
        <w:tabs>
          <w:tab w:val="num" w:pos="2880"/>
        </w:tabs>
        <w:ind w:left="2880" w:hanging="360"/>
      </w:pPr>
      <w:rPr>
        <w:rFonts w:ascii="Arial" w:hAnsi="Arial" w:hint="default"/>
      </w:rPr>
    </w:lvl>
    <w:lvl w:ilvl="4" w:tplc="3B54778C" w:tentative="1">
      <w:start w:val="1"/>
      <w:numFmt w:val="bullet"/>
      <w:lvlText w:val="•"/>
      <w:lvlJc w:val="left"/>
      <w:pPr>
        <w:tabs>
          <w:tab w:val="num" w:pos="3600"/>
        </w:tabs>
        <w:ind w:left="3600" w:hanging="360"/>
      </w:pPr>
      <w:rPr>
        <w:rFonts w:ascii="Arial" w:hAnsi="Arial" w:hint="default"/>
      </w:rPr>
    </w:lvl>
    <w:lvl w:ilvl="5" w:tplc="A420F4CA" w:tentative="1">
      <w:start w:val="1"/>
      <w:numFmt w:val="bullet"/>
      <w:lvlText w:val="•"/>
      <w:lvlJc w:val="left"/>
      <w:pPr>
        <w:tabs>
          <w:tab w:val="num" w:pos="4320"/>
        </w:tabs>
        <w:ind w:left="4320" w:hanging="360"/>
      </w:pPr>
      <w:rPr>
        <w:rFonts w:ascii="Arial" w:hAnsi="Arial" w:hint="default"/>
      </w:rPr>
    </w:lvl>
    <w:lvl w:ilvl="6" w:tplc="B2B2E43C" w:tentative="1">
      <w:start w:val="1"/>
      <w:numFmt w:val="bullet"/>
      <w:lvlText w:val="•"/>
      <w:lvlJc w:val="left"/>
      <w:pPr>
        <w:tabs>
          <w:tab w:val="num" w:pos="5040"/>
        </w:tabs>
        <w:ind w:left="5040" w:hanging="360"/>
      </w:pPr>
      <w:rPr>
        <w:rFonts w:ascii="Arial" w:hAnsi="Arial" w:hint="default"/>
      </w:rPr>
    </w:lvl>
    <w:lvl w:ilvl="7" w:tplc="5B8C8BB8" w:tentative="1">
      <w:start w:val="1"/>
      <w:numFmt w:val="bullet"/>
      <w:lvlText w:val="•"/>
      <w:lvlJc w:val="left"/>
      <w:pPr>
        <w:tabs>
          <w:tab w:val="num" w:pos="5760"/>
        </w:tabs>
        <w:ind w:left="5760" w:hanging="360"/>
      </w:pPr>
      <w:rPr>
        <w:rFonts w:ascii="Arial" w:hAnsi="Arial" w:hint="default"/>
      </w:rPr>
    </w:lvl>
    <w:lvl w:ilvl="8" w:tplc="857EC8E4" w:tentative="1">
      <w:start w:val="1"/>
      <w:numFmt w:val="bullet"/>
      <w:lvlText w:val="•"/>
      <w:lvlJc w:val="left"/>
      <w:pPr>
        <w:tabs>
          <w:tab w:val="num" w:pos="6480"/>
        </w:tabs>
        <w:ind w:left="6480" w:hanging="360"/>
      </w:pPr>
      <w:rPr>
        <w:rFonts w:ascii="Arial" w:hAnsi="Arial" w:hint="default"/>
      </w:rPr>
    </w:lvl>
  </w:abstractNum>
  <w:abstractNum w:abstractNumId="2">
    <w:nsid w:val="4C842A91"/>
    <w:multiLevelType w:val="hybridMultilevel"/>
    <w:tmpl w:val="91421C74"/>
    <w:lvl w:ilvl="0" w:tplc="F0E07882">
      <w:start w:val="1"/>
      <w:numFmt w:val="bullet"/>
      <w:lvlText w:val="•"/>
      <w:lvlJc w:val="left"/>
      <w:pPr>
        <w:tabs>
          <w:tab w:val="num" w:pos="720"/>
        </w:tabs>
        <w:ind w:left="720" w:hanging="360"/>
      </w:pPr>
      <w:rPr>
        <w:rFonts w:ascii="Arial" w:hAnsi="Arial" w:hint="default"/>
      </w:rPr>
    </w:lvl>
    <w:lvl w:ilvl="1" w:tplc="6DB06914" w:tentative="1">
      <w:start w:val="1"/>
      <w:numFmt w:val="bullet"/>
      <w:lvlText w:val="•"/>
      <w:lvlJc w:val="left"/>
      <w:pPr>
        <w:tabs>
          <w:tab w:val="num" w:pos="1440"/>
        </w:tabs>
        <w:ind w:left="1440" w:hanging="360"/>
      </w:pPr>
      <w:rPr>
        <w:rFonts w:ascii="Arial" w:hAnsi="Arial" w:hint="default"/>
      </w:rPr>
    </w:lvl>
    <w:lvl w:ilvl="2" w:tplc="82A449B0" w:tentative="1">
      <w:start w:val="1"/>
      <w:numFmt w:val="bullet"/>
      <w:lvlText w:val="•"/>
      <w:lvlJc w:val="left"/>
      <w:pPr>
        <w:tabs>
          <w:tab w:val="num" w:pos="2160"/>
        </w:tabs>
        <w:ind w:left="2160" w:hanging="360"/>
      </w:pPr>
      <w:rPr>
        <w:rFonts w:ascii="Arial" w:hAnsi="Arial" w:hint="default"/>
      </w:rPr>
    </w:lvl>
    <w:lvl w:ilvl="3" w:tplc="7D64F236" w:tentative="1">
      <w:start w:val="1"/>
      <w:numFmt w:val="bullet"/>
      <w:lvlText w:val="•"/>
      <w:lvlJc w:val="left"/>
      <w:pPr>
        <w:tabs>
          <w:tab w:val="num" w:pos="2880"/>
        </w:tabs>
        <w:ind w:left="2880" w:hanging="360"/>
      </w:pPr>
      <w:rPr>
        <w:rFonts w:ascii="Arial" w:hAnsi="Arial" w:hint="default"/>
      </w:rPr>
    </w:lvl>
    <w:lvl w:ilvl="4" w:tplc="B2E239CE" w:tentative="1">
      <w:start w:val="1"/>
      <w:numFmt w:val="bullet"/>
      <w:lvlText w:val="•"/>
      <w:lvlJc w:val="left"/>
      <w:pPr>
        <w:tabs>
          <w:tab w:val="num" w:pos="3600"/>
        </w:tabs>
        <w:ind w:left="3600" w:hanging="360"/>
      </w:pPr>
      <w:rPr>
        <w:rFonts w:ascii="Arial" w:hAnsi="Arial" w:hint="default"/>
      </w:rPr>
    </w:lvl>
    <w:lvl w:ilvl="5" w:tplc="04BE285A" w:tentative="1">
      <w:start w:val="1"/>
      <w:numFmt w:val="bullet"/>
      <w:lvlText w:val="•"/>
      <w:lvlJc w:val="left"/>
      <w:pPr>
        <w:tabs>
          <w:tab w:val="num" w:pos="4320"/>
        </w:tabs>
        <w:ind w:left="4320" w:hanging="360"/>
      </w:pPr>
      <w:rPr>
        <w:rFonts w:ascii="Arial" w:hAnsi="Arial" w:hint="default"/>
      </w:rPr>
    </w:lvl>
    <w:lvl w:ilvl="6" w:tplc="52144446" w:tentative="1">
      <w:start w:val="1"/>
      <w:numFmt w:val="bullet"/>
      <w:lvlText w:val="•"/>
      <w:lvlJc w:val="left"/>
      <w:pPr>
        <w:tabs>
          <w:tab w:val="num" w:pos="5040"/>
        </w:tabs>
        <w:ind w:left="5040" w:hanging="360"/>
      </w:pPr>
      <w:rPr>
        <w:rFonts w:ascii="Arial" w:hAnsi="Arial" w:hint="default"/>
      </w:rPr>
    </w:lvl>
    <w:lvl w:ilvl="7" w:tplc="A5CAAA84" w:tentative="1">
      <w:start w:val="1"/>
      <w:numFmt w:val="bullet"/>
      <w:lvlText w:val="•"/>
      <w:lvlJc w:val="left"/>
      <w:pPr>
        <w:tabs>
          <w:tab w:val="num" w:pos="5760"/>
        </w:tabs>
        <w:ind w:left="5760" w:hanging="360"/>
      </w:pPr>
      <w:rPr>
        <w:rFonts w:ascii="Arial" w:hAnsi="Arial" w:hint="default"/>
      </w:rPr>
    </w:lvl>
    <w:lvl w:ilvl="8" w:tplc="FA6812AC" w:tentative="1">
      <w:start w:val="1"/>
      <w:numFmt w:val="bullet"/>
      <w:lvlText w:val="•"/>
      <w:lvlJc w:val="left"/>
      <w:pPr>
        <w:tabs>
          <w:tab w:val="num" w:pos="6480"/>
        </w:tabs>
        <w:ind w:left="6480" w:hanging="360"/>
      </w:pPr>
      <w:rPr>
        <w:rFonts w:ascii="Arial" w:hAnsi="Arial" w:hint="default"/>
      </w:rPr>
    </w:lvl>
  </w:abstractNum>
  <w:abstractNum w:abstractNumId="3">
    <w:nsid w:val="571164E0"/>
    <w:multiLevelType w:val="hybridMultilevel"/>
    <w:tmpl w:val="827A17CE"/>
    <w:lvl w:ilvl="0" w:tplc="BCDE19A2">
      <w:start w:val="1"/>
      <w:numFmt w:val="bullet"/>
      <w:lvlText w:val="•"/>
      <w:lvlJc w:val="left"/>
      <w:pPr>
        <w:tabs>
          <w:tab w:val="num" w:pos="720"/>
        </w:tabs>
        <w:ind w:left="720" w:hanging="360"/>
      </w:pPr>
      <w:rPr>
        <w:rFonts w:ascii="Arial" w:hAnsi="Arial" w:hint="default"/>
      </w:rPr>
    </w:lvl>
    <w:lvl w:ilvl="1" w:tplc="D4E049E8" w:tentative="1">
      <w:start w:val="1"/>
      <w:numFmt w:val="bullet"/>
      <w:lvlText w:val="•"/>
      <w:lvlJc w:val="left"/>
      <w:pPr>
        <w:tabs>
          <w:tab w:val="num" w:pos="1440"/>
        </w:tabs>
        <w:ind w:left="1440" w:hanging="360"/>
      </w:pPr>
      <w:rPr>
        <w:rFonts w:ascii="Arial" w:hAnsi="Arial" w:hint="default"/>
      </w:rPr>
    </w:lvl>
    <w:lvl w:ilvl="2" w:tplc="B0B226DE" w:tentative="1">
      <w:start w:val="1"/>
      <w:numFmt w:val="bullet"/>
      <w:lvlText w:val="•"/>
      <w:lvlJc w:val="left"/>
      <w:pPr>
        <w:tabs>
          <w:tab w:val="num" w:pos="2160"/>
        </w:tabs>
        <w:ind w:left="2160" w:hanging="360"/>
      </w:pPr>
      <w:rPr>
        <w:rFonts w:ascii="Arial" w:hAnsi="Arial" w:hint="default"/>
      </w:rPr>
    </w:lvl>
    <w:lvl w:ilvl="3" w:tplc="8166B260" w:tentative="1">
      <w:start w:val="1"/>
      <w:numFmt w:val="bullet"/>
      <w:lvlText w:val="•"/>
      <w:lvlJc w:val="left"/>
      <w:pPr>
        <w:tabs>
          <w:tab w:val="num" w:pos="2880"/>
        </w:tabs>
        <w:ind w:left="2880" w:hanging="360"/>
      </w:pPr>
      <w:rPr>
        <w:rFonts w:ascii="Arial" w:hAnsi="Arial" w:hint="default"/>
      </w:rPr>
    </w:lvl>
    <w:lvl w:ilvl="4" w:tplc="7B12EF38" w:tentative="1">
      <w:start w:val="1"/>
      <w:numFmt w:val="bullet"/>
      <w:lvlText w:val="•"/>
      <w:lvlJc w:val="left"/>
      <w:pPr>
        <w:tabs>
          <w:tab w:val="num" w:pos="3600"/>
        </w:tabs>
        <w:ind w:left="3600" w:hanging="360"/>
      </w:pPr>
      <w:rPr>
        <w:rFonts w:ascii="Arial" w:hAnsi="Arial" w:hint="default"/>
      </w:rPr>
    </w:lvl>
    <w:lvl w:ilvl="5" w:tplc="B9E051B4" w:tentative="1">
      <w:start w:val="1"/>
      <w:numFmt w:val="bullet"/>
      <w:lvlText w:val="•"/>
      <w:lvlJc w:val="left"/>
      <w:pPr>
        <w:tabs>
          <w:tab w:val="num" w:pos="4320"/>
        </w:tabs>
        <w:ind w:left="4320" w:hanging="360"/>
      </w:pPr>
      <w:rPr>
        <w:rFonts w:ascii="Arial" w:hAnsi="Arial" w:hint="default"/>
      </w:rPr>
    </w:lvl>
    <w:lvl w:ilvl="6" w:tplc="EBCA363E" w:tentative="1">
      <w:start w:val="1"/>
      <w:numFmt w:val="bullet"/>
      <w:lvlText w:val="•"/>
      <w:lvlJc w:val="left"/>
      <w:pPr>
        <w:tabs>
          <w:tab w:val="num" w:pos="5040"/>
        </w:tabs>
        <w:ind w:left="5040" w:hanging="360"/>
      </w:pPr>
      <w:rPr>
        <w:rFonts w:ascii="Arial" w:hAnsi="Arial" w:hint="default"/>
      </w:rPr>
    </w:lvl>
    <w:lvl w:ilvl="7" w:tplc="4A726BD6" w:tentative="1">
      <w:start w:val="1"/>
      <w:numFmt w:val="bullet"/>
      <w:lvlText w:val="•"/>
      <w:lvlJc w:val="left"/>
      <w:pPr>
        <w:tabs>
          <w:tab w:val="num" w:pos="5760"/>
        </w:tabs>
        <w:ind w:left="5760" w:hanging="360"/>
      </w:pPr>
      <w:rPr>
        <w:rFonts w:ascii="Arial" w:hAnsi="Arial" w:hint="default"/>
      </w:rPr>
    </w:lvl>
    <w:lvl w:ilvl="8" w:tplc="551EB728" w:tentative="1">
      <w:start w:val="1"/>
      <w:numFmt w:val="bullet"/>
      <w:lvlText w:val="•"/>
      <w:lvlJc w:val="left"/>
      <w:pPr>
        <w:tabs>
          <w:tab w:val="num" w:pos="6480"/>
        </w:tabs>
        <w:ind w:left="6480" w:hanging="360"/>
      </w:pPr>
      <w:rPr>
        <w:rFonts w:ascii="Arial" w:hAnsi="Arial" w:hint="default"/>
      </w:rPr>
    </w:lvl>
  </w:abstractNum>
  <w:abstractNum w:abstractNumId="4">
    <w:nsid w:val="5CAD1D98"/>
    <w:multiLevelType w:val="hybridMultilevel"/>
    <w:tmpl w:val="1F16D4F4"/>
    <w:lvl w:ilvl="0" w:tplc="53F2EE2C">
      <w:start w:val="1"/>
      <w:numFmt w:val="bullet"/>
      <w:lvlText w:val="•"/>
      <w:lvlJc w:val="left"/>
      <w:pPr>
        <w:tabs>
          <w:tab w:val="num" w:pos="720"/>
        </w:tabs>
        <w:ind w:left="720" w:hanging="360"/>
      </w:pPr>
      <w:rPr>
        <w:rFonts w:ascii="Arial" w:hAnsi="Arial" w:hint="default"/>
      </w:rPr>
    </w:lvl>
    <w:lvl w:ilvl="1" w:tplc="CFE2BD34" w:tentative="1">
      <w:start w:val="1"/>
      <w:numFmt w:val="bullet"/>
      <w:lvlText w:val="•"/>
      <w:lvlJc w:val="left"/>
      <w:pPr>
        <w:tabs>
          <w:tab w:val="num" w:pos="1440"/>
        </w:tabs>
        <w:ind w:left="1440" w:hanging="360"/>
      </w:pPr>
      <w:rPr>
        <w:rFonts w:ascii="Arial" w:hAnsi="Arial" w:hint="default"/>
      </w:rPr>
    </w:lvl>
    <w:lvl w:ilvl="2" w:tplc="268E8F00" w:tentative="1">
      <w:start w:val="1"/>
      <w:numFmt w:val="bullet"/>
      <w:lvlText w:val="•"/>
      <w:lvlJc w:val="left"/>
      <w:pPr>
        <w:tabs>
          <w:tab w:val="num" w:pos="2160"/>
        </w:tabs>
        <w:ind w:left="2160" w:hanging="360"/>
      </w:pPr>
      <w:rPr>
        <w:rFonts w:ascii="Arial" w:hAnsi="Arial" w:hint="default"/>
      </w:rPr>
    </w:lvl>
    <w:lvl w:ilvl="3" w:tplc="724EA040" w:tentative="1">
      <w:start w:val="1"/>
      <w:numFmt w:val="bullet"/>
      <w:lvlText w:val="•"/>
      <w:lvlJc w:val="left"/>
      <w:pPr>
        <w:tabs>
          <w:tab w:val="num" w:pos="2880"/>
        </w:tabs>
        <w:ind w:left="2880" w:hanging="360"/>
      </w:pPr>
      <w:rPr>
        <w:rFonts w:ascii="Arial" w:hAnsi="Arial" w:hint="default"/>
      </w:rPr>
    </w:lvl>
    <w:lvl w:ilvl="4" w:tplc="42FC3A18" w:tentative="1">
      <w:start w:val="1"/>
      <w:numFmt w:val="bullet"/>
      <w:lvlText w:val="•"/>
      <w:lvlJc w:val="left"/>
      <w:pPr>
        <w:tabs>
          <w:tab w:val="num" w:pos="3600"/>
        </w:tabs>
        <w:ind w:left="3600" w:hanging="360"/>
      </w:pPr>
      <w:rPr>
        <w:rFonts w:ascii="Arial" w:hAnsi="Arial" w:hint="default"/>
      </w:rPr>
    </w:lvl>
    <w:lvl w:ilvl="5" w:tplc="2EF4942C" w:tentative="1">
      <w:start w:val="1"/>
      <w:numFmt w:val="bullet"/>
      <w:lvlText w:val="•"/>
      <w:lvlJc w:val="left"/>
      <w:pPr>
        <w:tabs>
          <w:tab w:val="num" w:pos="4320"/>
        </w:tabs>
        <w:ind w:left="4320" w:hanging="360"/>
      </w:pPr>
      <w:rPr>
        <w:rFonts w:ascii="Arial" w:hAnsi="Arial" w:hint="default"/>
      </w:rPr>
    </w:lvl>
    <w:lvl w:ilvl="6" w:tplc="CE0AFF1E" w:tentative="1">
      <w:start w:val="1"/>
      <w:numFmt w:val="bullet"/>
      <w:lvlText w:val="•"/>
      <w:lvlJc w:val="left"/>
      <w:pPr>
        <w:tabs>
          <w:tab w:val="num" w:pos="5040"/>
        </w:tabs>
        <w:ind w:left="5040" w:hanging="360"/>
      </w:pPr>
      <w:rPr>
        <w:rFonts w:ascii="Arial" w:hAnsi="Arial" w:hint="default"/>
      </w:rPr>
    </w:lvl>
    <w:lvl w:ilvl="7" w:tplc="E63C303E" w:tentative="1">
      <w:start w:val="1"/>
      <w:numFmt w:val="bullet"/>
      <w:lvlText w:val="•"/>
      <w:lvlJc w:val="left"/>
      <w:pPr>
        <w:tabs>
          <w:tab w:val="num" w:pos="5760"/>
        </w:tabs>
        <w:ind w:left="5760" w:hanging="360"/>
      </w:pPr>
      <w:rPr>
        <w:rFonts w:ascii="Arial" w:hAnsi="Arial" w:hint="default"/>
      </w:rPr>
    </w:lvl>
    <w:lvl w:ilvl="8" w:tplc="19A8B04E" w:tentative="1">
      <w:start w:val="1"/>
      <w:numFmt w:val="bullet"/>
      <w:lvlText w:val="•"/>
      <w:lvlJc w:val="left"/>
      <w:pPr>
        <w:tabs>
          <w:tab w:val="num" w:pos="6480"/>
        </w:tabs>
        <w:ind w:left="6480" w:hanging="360"/>
      </w:pPr>
      <w:rPr>
        <w:rFonts w:ascii="Arial" w:hAnsi="Arial" w:hint="default"/>
      </w:rPr>
    </w:lvl>
  </w:abstractNum>
  <w:abstractNum w:abstractNumId="5">
    <w:nsid w:val="6B04503E"/>
    <w:multiLevelType w:val="hybridMultilevel"/>
    <w:tmpl w:val="2A382E5E"/>
    <w:lvl w:ilvl="0" w:tplc="1A04617E">
      <w:start w:val="1"/>
      <w:numFmt w:val="bullet"/>
      <w:lvlText w:val="•"/>
      <w:lvlJc w:val="left"/>
      <w:pPr>
        <w:tabs>
          <w:tab w:val="num" w:pos="720"/>
        </w:tabs>
        <w:ind w:left="720" w:hanging="360"/>
      </w:pPr>
      <w:rPr>
        <w:rFonts w:ascii="Arial" w:hAnsi="Arial" w:hint="default"/>
      </w:rPr>
    </w:lvl>
    <w:lvl w:ilvl="1" w:tplc="88025B80" w:tentative="1">
      <w:start w:val="1"/>
      <w:numFmt w:val="bullet"/>
      <w:lvlText w:val="•"/>
      <w:lvlJc w:val="left"/>
      <w:pPr>
        <w:tabs>
          <w:tab w:val="num" w:pos="1440"/>
        </w:tabs>
        <w:ind w:left="1440" w:hanging="360"/>
      </w:pPr>
      <w:rPr>
        <w:rFonts w:ascii="Arial" w:hAnsi="Arial" w:hint="default"/>
      </w:rPr>
    </w:lvl>
    <w:lvl w:ilvl="2" w:tplc="9544E206" w:tentative="1">
      <w:start w:val="1"/>
      <w:numFmt w:val="bullet"/>
      <w:lvlText w:val="•"/>
      <w:lvlJc w:val="left"/>
      <w:pPr>
        <w:tabs>
          <w:tab w:val="num" w:pos="2160"/>
        </w:tabs>
        <w:ind w:left="2160" w:hanging="360"/>
      </w:pPr>
      <w:rPr>
        <w:rFonts w:ascii="Arial" w:hAnsi="Arial" w:hint="default"/>
      </w:rPr>
    </w:lvl>
    <w:lvl w:ilvl="3" w:tplc="847C2D36" w:tentative="1">
      <w:start w:val="1"/>
      <w:numFmt w:val="bullet"/>
      <w:lvlText w:val="•"/>
      <w:lvlJc w:val="left"/>
      <w:pPr>
        <w:tabs>
          <w:tab w:val="num" w:pos="2880"/>
        </w:tabs>
        <w:ind w:left="2880" w:hanging="360"/>
      </w:pPr>
      <w:rPr>
        <w:rFonts w:ascii="Arial" w:hAnsi="Arial" w:hint="default"/>
      </w:rPr>
    </w:lvl>
    <w:lvl w:ilvl="4" w:tplc="C7406996" w:tentative="1">
      <w:start w:val="1"/>
      <w:numFmt w:val="bullet"/>
      <w:lvlText w:val="•"/>
      <w:lvlJc w:val="left"/>
      <w:pPr>
        <w:tabs>
          <w:tab w:val="num" w:pos="3600"/>
        </w:tabs>
        <w:ind w:left="3600" w:hanging="360"/>
      </w:pPr>
      <w:rPr>
        <w:rFonts w:ascii="Arial" w:hAnsi="Arial" w:hint="default"/>
      </w:rPr>
    </w:lvl>
    <w:lvl w:ilvl="5" w:tplc="3E6073DA" w:tentative="1">
      <w:start w:val="1"/>
      <w:numFmt w:val="bullet"/>
      <w:lvlText w:val="•"/>
      <w:lvlJc w:val="left"/>
      <w:pPr>
        <w:tabs>
          <w:tab w:val="num" w:pos="4320"/>
        </w:tabs>
        <w:ind w:left="4320" w:hanging="360"/>
      </w:pPr>
      <w:rPr>
        <w:rFonts w:ascii="Arial" w:hAnsi="Arial" w:hint="default"/>
      </w:rPr>
    </w:lvl>
    <w:lvl w:ilvl="6" w:tplc="F7422B42" w:tentative="1">
      <w:start w:val="1"/>
      <w:numFmt w:val="bullet"/>
      <w:lvlText w:val="•"/>
      <w:lvlJc w:val="left"/>
      <w:pPr>
        <w:tabs>
          <w:tab w:val="num" w:pos="5040"/>
        </w:tabs>
        <w:ind w:left="5040" w:hanging="360"/>
      </w:pPr>
      <w:rPr>
        <w:rFonts w:ascii="Arial" w:hAnsi="Arial" w:hint="default"/>
      </w:rPr>
    </w:lvl>
    <w:lvl w:ilvl="7" w:tplc="126AC13A" w:tentative="1">
      <w:start w:val="1"/>
      <w:numFmt w:val="bullet"/>
      <w:lvlText w:val="•"/>
      <w:lvlJc w:val="left"/>
      <w:pPr>
        <w:tabs>
          <w:tab w:val="num" w:pos="5760"/>
        </w:tabs>
        <w:ind w:left="5760" w:hanging="360"/>
      </w:pPr>
      <w:rPr>
        <w:rFonts w:ascii="Arial" w:hAnsi="Arial" w:hint="default"/>
      </w:rPr>
    </w:lvl>
    <w:lvl w:ilvl="8" w:tplc="4A900AAC" w:tentative="1">
      <w:start w:val="1"/>
      <w:numFmt w:val="bullet"/>
      <w:lvlText w:val="•"/>
      <w:lvlJc w:val="left"/>
      <w:pPr>
        <w:tabs>
          <w:tab w:val="num" w:pos="6480"/>
        </w:tabs>
        <w:ind w:left="6480" w:hanging="360"/>
      </w:pPr>
      <w:rPr>
        <w:rFonts w:ascii="Arial" w:hAnsi="Arial" w:hint="default"/>
      </w:rPr>
    </w:lvl>
  </w:abstractNum>
  <w:abstractNum w:abstractNumId="6">
    <w:nsid w:val="6CC4697C"/>
    <w:multiLevelType w:val="hybridMultilevel"/>
    <w:tmpl w:val="1D604F82"/>
    <w:lvl w:ilvl="0" w:tplc="9D100D50">
      <w:start w:val="1"/>
      <w:numFmt w:val="bullet"/>
      <w:lvlText w:val="•"/>
      <w:lvlJc w:val="left"/>
      <w:pPr>
        <w:tabs>
          <w:tab w:val="num" w:pos="720"/>
        </w:tabs>
        <w:ind w:left="720" w:hanging="360"/>
      </w:pPr>
      <w:rPr>
        <w:rFonts w:ascii="Arial" w:hAnsi="Arial" w:hint="default"/>
      </w:rPr>
    </w:lvl>
    <w:lvl w:ilvl="1" w:tplc="05F85254" w:tentative="1">
      <w:start w:val="1"/>
      <w:numFmt w:val="bullet"/>
      <w:lvlText w:val="•"/>
      <w:lvlJc w:val="left"/>
      <w:pPr>
        <w:tabs>
          <w:tab w:val="num" w:pos="1440"/>
        </w:tabs>
        <w:ind w:left="1440" w:hanging="360"/>
      </w:pPr>
      <w:rPr>
        <w:rFonts w:ascii="Arial" w:hAnsi="Arial" w:hint="default"/>
      </w:rPr>
    </w:lvl>
    <w:lvl w:ilvl="2" w:tplc="DC08D9BC" w:tentative="1">
      <w:start w:val="1"/>
      <w:numFmt w:val="bullet"/>
      <w:lvlText w:val="•"/>
      <w:lvlJc w:val="left"/>
      <w:pPr>
        <w:tabs>
          <w:tab w:val="num" w:pos="2160"/>
        </w:tabs>
        <w:ind w:left="2160" w:hanging="360"/>
      </w:pPr>
      <w:rPr>
        <w:rFonts w:ascii="Arial" w:hAnsi="Arial" w:hint="default"/>
      </w:rPr>
    </w:lvl>
    <w:lvl w:ilvl="3" w:tplc="84007366" w:tentative="1">
      <w:start w:val="1"/>
      <w:numFmt w:val="bullet"/>
      <w:lvlText w:val="•"/>
      <w:lvlJc w:val="left"/>
      <w:pPr>
        <w:tabs>
          <w:tab w:val="num" w:pos="2880"/>
        </w:tabs>
        <w:ind w:left="2880" w:hanging="360"/>
      </w:pPr>
      <w:rPr>
        <w:rFonts w:ascii="Arial" w:hAnsi="Arial" w:hint="default"/>
      </w:rPr>
    </w:lvl>
    <w:lvl w:ilvl="4" w:tplc="9904D49C" w:tentative="1">
      <w:start w:val="1"/>
      <w:numFmt w:val="bullet"/>
      <w:lvlText w:val="•"/>
      <w:lvlJc w:val="left"/>
      <w:pPr>
        <w:tabs>
          <w:tab w:val="num" w:pos="3600"/>
        </w:tabs>
        <w:ind w:left="3600" w:hanging="360"/>
      </w:pPr>
      <w:rPr>
        <w:rFonts w:ascii="Arial" w:hAnsi="Arial" w:hint="default"/>
      </w:rPr>
    </w:lvl>
    <w:lvl w:ilvl="5" w:tplc="25B01D10" w:tentative="1">
      <w:start w:val="1"/>
      <w:numFmt w:val="bullet"/>
      <w:lvlText w:val="•"/>
      <w:lvlJc w:val="left"/>
      <w:pPr>
        <w:tabs>
          <w:tab w:val="num" w:pos="4320"/>
        </w:tabs>
        <w:ind w:left="4320" w:hanging="360"/>
      </w:pPr>
      <w:rPr>
        <w:rFonts w:ascii="Arial" w:hAnsi="Arial" w:hint="default"/>
      </w:rPr>
    </w:lvl>
    <w:lvl w:ilvl="6" w:tplc="509E1D9C" w:tentative="1">
      <w:start w:val="1"/>
      <w:numFmt w:val="bullet"/>
      <w:lvlText w:val="•"/>
      <w:lvlJc w:val="left"/>
      <w:pPr>
        <w:tabs>
          <w:tab w:val="num" w:pos="5040"/>
        </w:tabs>
        <w:ind w:left="5040" w:hanging="360"/>
      </w:pPr>
      <w:rPr>
        <w:rFonts w:ascii="Arial" w:hAnsi="Arial" w:hint="default"/>
      </w:rPr>
    </w:lvl>
    <w:lvl w:ilvl="7" w:tplc="4BB6F57E" w:tentative="1">
      <w:start w:val="1"/>
      <w:numFmt w:val="bullet"/>
      <w:lvlText w:val="•"/>
      <w:lvlJc w:val="left"/>
      <w:pPr>
        <w:tabs>
          <w:tab w:val="num" w:pos="5760"/>
        </w:tabs>
        <w:ind w:left="5760" w:hanging="360"/>
      </w:pPr>
      <w:rPr>
        <w:rFonts w:ascii="Arial" w:hAnsi="Arial" w:hint="default"/>
      </w:rPr>
    </w:lvl>
    <w:lvl w:ilvl="8" w:tplc="73564A1E" w:tentative="1">
      <w:start w:val="1"/>
      <w:numFmt w:val="bullet"/>
      <w:lvlText w:val="•"/>
      <w:lvlJc w:val="left"/>
      <w:pPr>
        <w:tabs>
          <w:tab w:val="num" w:pos="6480"/>
        </w:tabs>
        <w:ind w:left="6480" w:hanging="360"/>
      </w:pPr>
      <w:rPr>
        <w:rFonts w:ascii="Arial" w:hAnsi="Arial" w:hint="default"/>
      </w:rPr>
    </w:lvl>
  </w:abstractNum>
  <w:abstractNum w:abstractNumId="7">
    <w:nsid w:val="7CA10776"/>
    <w:multiLevelType w:val="hybridMultilevel"/>
    <w:tmpl w:val="D1B461D0"/>
    <w:lvl w:ilvl="0" w:tplc="DBFAB6D2">
      <w:start w:val="1"/>
      <w:numFmt w:val="bullet"/>
      <w:lvlText w:val="•"/>
      <w:lvlJc w:val="left"/>
      <w:pPr>
        <w:tabs>
          <w:tab w:val="num" w:pos="720"/>
        </w:tabs>
        <w:ind w:left="720" w:hanging="360"/>
      </w:pPr>
      <w:rPr>
        <w:rFonts w:ascii="Arial" w:hAnsi="Arial" w:hint="default"/>
      </w:rPr>
    </w:lvl>
    <w:lvl w:ilvl="1" w:tplc="3E76812C" w:tentative="1">
      <w:start w:val="1"/>
      <w:numFmt w:val="bullet"/>
      <w:lvlText w:val="•"/>
      <w:lvlJc w:val="left"/>
      <w:pPr>
        <w:tabs>
          <w:tab w:val="num" w:pos="1440"/>
        </w:tabs>
        <w:ind w:left="1440" w:hanging="360"/>
      </w:pPr>
      <w:rPr>
        <w:rFonts w:ascii="Arial" w:hAnsi="Arial" w:hint="default"/>
      </w:rPr>
    </w:lvl>
    <w:lvl w:ilvl="2" w:tplc="ECBA4366" w:tentative="1">
      <w:start w:val="1"/>
      <w:numFmt w:val="bullet"/>
      <w:lvlText w:val="•"/>
      <w:lvlJc w:val="left"/>
      <w:pPr>
        <w:tabs>
          <w:tab w:val="num" w:pos="2160"/>
        </w:tabs>
        <w:ind w:left="2160" w:hanging="360"/>
      </w:pPr>
      <w:rPr>
        <w:rFonts w:ascii="Arial" w:hAnsi="Arial" w:hint="default"/>
      </w:rPr>
    </w:lvl>
    <w:lvl w:ilvl="3" w:tplc="223E2474" w:tentative="1">
      <w:start w:val="1"/>
      <w:numFmt w:val="bullet"/>
      <w:lvlText w:val="•"/>
      <w:lvlJc w:val="left"/>
      <w:pPr>
        <w:tabs>
          <w:tab w:val="num" w:pos="2880"/>
        </w:tabs>
        <w:ind w:left="2880" w:hanging="360"/>
      </w:pPr>
      <w:rPr>
        <w:rFonts w:ascii="Arial" w:hAnsi="Arial" w:hint="default"/>
      </w:rPr>
    </w:lvl>
    <w:lvl w:ilvl="4" w:tplc="F7B207FE" w:tentative="1">
      <w:start w:val="1"/>
      <w:numFmt w:val="bullet"/>
      <w:lvlText w:val="•"/>
      <w:lvlJc w:val="left"/>
      <w:pPr>
        <w:tabs>
          <w:tab w:val="num" w:pos="3600"/>
        </w:tabs>
        <w:ind w:left="3600" w:hanging="360"/>
      </w:pPr>
      <w:rPr>
        <w:rFonts w:ascii="Arial" w:hAnsi="Arial" w:hint="default"/>
      </w:rPr>
    </w:lvl>
    <w:lvl w:ilvl="5" w:tplc="0F8CDC08" w:tentative="1">
      <w:start w:val="1"/>
      <w:numFmt w:val="bullet"/>
      <w:lvlText w:val="•"/>
      <w:lvlJc w:val="left"/>
      <w:pPr>
        <w:tabs>
          <w:tab w:val="num" w:pos="4320"/>
        </w:tabs>
        <w:ind w:left="4320" w:hanging="360"/>
      </w:pPr>
      <w:rPr>
        <w:rFonts w:ascii="Arial" w:hAnsi="Arial" w:hint="default"/>
      </w:rPr>
    </w:lvl>
    <w:lvl w:ilvl="6" w:tplc="9892AF00" w:tentative="1">
      <w:start w:val="1"/>
      <w:numFmt w:val="bullet"/>
      <w:lvlText w:val="•"/>
      <w:lvlJc w:val="left"/>
      <w:pPr>
        <w:tabs>
          <w:tab w:val="num" w:pos="5040"/>
        </w:tabs>
        <w:ind w:left="5040" w:hanging="360"/>
      </w:pPr>
      <w:rPr>
        <w:rFonts w:ascii="Arial" w:hAnsi="Arial" w:hint="default"/>
      </w:rPr>
    </w:lvl>
    <w:lvl w:ilvl="7" w:tplc="066A6E94" w:tentative="1">
      <w:start w:val="1"/>
      <w:numFmt w:val="bullet"/>
      <w:lvlText w:val="•"/>
      <w:lvlJc w:val="left"/>
      <w:pPr>
        <w:tabs>
          <w:tab w:val="num" w:pos="5760"/>
        </w:tabs>
        <w:ind w:left="5760" w:hanging="360"/>
      </w:pPr>
      <w:rPr>
        <w:rFonts w:ascii="Arial" w:hAnsi="Arial" w:hint="default"/>
      </w:rPr>
    </w:lvl>
    <w:lvl w:ilvl="8" w:tplc="A4DAAD9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1"/>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36D0F"/>
    <w:rsid w:val="00587A76"/>
    <w:rsid w:val="00907C90"/>
    <w:rsid w:val="009F5FAC"/>
    <w:rsid w:val="00A13F5F"/>
    <w:rsid w:val="00C11D8E"/>
    <w:rsid w:val="00C36D0F"/>
    <w:rsid w:val="00F735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0F"/>
    <w:rPr>
      <w:noProo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6D0F"/>
    <w:pPr>
      <w:tabs>
        <w:tab w:val="center" w:pos="4536"/>
        <w:tab w:val="right" w:pos="9072"/>
      </w:tabs>
      <w:spacing w:after="0" w:line="240" w:lineRule="auto"/>
    </w:pPr>
  </w:style>
  <w:style w:type="character" w:customStyle="1" w:styleId="En-tteCar">
    <w:name w:val="En-tête Car"/>
    <w:basedOn w:val="Policepardfaut"/>
    <w:link w:val="En-tte"/>
    <w:uiPriority w:val="99"/>
    <w:rsid w:val="00C36D0F"/>
    <w:rPr>
      <w:noProof/>
    </w:rPr>
  </w:style>
  <w:style w:type="paragraph" w:styleId="Pieddepage">
    <w:name w:val="footer"/>
    <w:basedOn w:val="Normal"/>
    <w:link w:val="PieddepageCar"/>
    <w:uiPriority w:val="99"/>
    <w:semiHidden/>
    <w:unhideWhenUsed/>
    <w:rsid w:val="00C36D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6D0F"/>
    <w:rPr>
      <w:noProof/>
    </w:rPr>
  </w:style>
  <w:style w:type="paragraph" w:styleId="Textedebulles">
    <w:name w:val="Balloon Text"/>
    <w:basedOn w:val="Normal"/>
    <w:link w:val="TextedebullesCar"/>
    <w:uiPriority w:val="99"/>
    <w:semiHidden/>
    <w:unhideWhenUsed/>
    <w:rsid w:val="00C36D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D0F"/>
    <w:rPr>
      <w:rFonts w:ascii="Tahoma" w:hAnsi="Tahoma" w:cs="Tahoma"/>
      <w:noProof/>
      <w:sz w:val="16"/>
      <w:szCs w:val="16"/>
    </w:rPr>
  </w:style>
  <w:style w:type="paragraph" w:styleId="Notedebasdepage">
    <w:name w:val="footnote text"/>
    <w:basedOn w:val="Normal"/>
    <w:link w:val="NotedebasdepageCar"/>
    <w:uiPriority w:val="99"/>
    <w:semiHidden/>
    <w:unhideWhenUsed/>
    <w:rsid w:val="00C36D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6D0F"/>
    <w:rPr>
      <w:noProof/>
      <w:sz w:val="20"/>
      <w:szCs w:val="20"/>
    </w:rPr>
  </w:style>
  <w:style w:type="character" w:styleId="Appelnotedebasdep">
    <w:name w:val="footnote reference"/>
    <w:basedOn w:val="Policepardfaut"/>
    <w:uiPriority w:val="99"/>
    <w:semiHidden/>
    <w:unhideWhenUsed/>
    <w:rsid w:val="00C36D0F"/>
    <w:rPr>
      <w:vertAlign w:val="superscript"/>
    </w:rPr>
  </w:style>
  <w:style w:type="paragraph" w:styleId="Paragraphedeliste">
    <w:name w:val="List Paragraph"/>
    <w:basedOn w:val="Normal"/>
    <w:uiPriority w:val="34"/>
    <w:qFormat/>
    <w:rsid w:val="00C36D0F"/>
    <w:pPr>
      <w:spacing w:after="0" w:line="240" w:lineRule="auto"/>
      <w:ind w:left="720"/>
      <w:contextualSpacing/>
    </w:pPr>
    <w:rPr>
      <w:rFonts w:ascii="Times New Roman" w:eastAsia="Times New Roman" w:hAnsi="Times New Roman" w:cs="Times New Roman"/>
      <w:noProof w:val="0"/>
      <w:sz w:val="24"/>
      <w:szCs w:val="24"/>
      <w:lang w:eastAsia="fr-FR"/>
    </w:rPr>
  </w:style>
</w:styles>
</file>

<file path=word/webSettings.xml><?xml version="1.0" encoding="utf-8"?>
<w:webSettings xmlns:r="http://schemas.openxmlformats.org/officeDocument/2006/relationships" xmlns:w="http://schemas.openxmlformats.org/wordprocessingml/2006/main">
  <w:divs>
    <w:div w:id="331639783">
      <w:bodyDiv w:val="1"/>
      <w:marLeft w:val="0"/>
      <w:marRight w:val="0"/>
      <w:marTop w:val="0"/>
      <w:marBottom w:val="0"/>
      <w:divBdr>
        <w:top w:val="none" w:sz="0" w:space="0" w:color="auto"/>
        <w:left w:val="none" w:sz="0" w:space="0" w:color="auto"/>
        <w:bottom w:val="none" w:sz="0" w:space="0" w:color="auto"/>
        <w:right w:val="none" w:sz="0" w:space="0" w:color="auto"/>
      </w:divBdr>
      <w:divsChild>
        <w:div w:id="244606988">
          <w:marLeft w:val="547"/>
          <w:marRight w:val="0"/>
          <w:marTop w:val="144"/>
          <w:marBottom w:val="0"/>
          <w:divBdr>
            <w:top w:val="none" w:sz="0" w:space="0" w:color="auto"/>
            <w:left w:val="none" w:sz="0" w:space="0" w:color="auto"/>
            <w:bottom w:val="none" w:sz="0" w:space="0" w:color="auto"/>
            <w:right w:val="none" w:sz="0" w:space="0" w:color="auto"/>
          </w:divBdr>
        </w:div>
        <w:div w:id="1270309095">
          <w:marLeft w:val="547"/>
          <w:marRight w:val="0"/>
          <w:marTop w:val="144"/>
          <w:marBottom w:val="0"/>
          <w:divBdr>
            <w:top w:val="none" w:sz="0" w:space="0" w:color="auto"/>
            <w:left w:val="none" w:sz="0" w:space="0" w:color="auto"/>
            <w:bottom w:val="none" w:sz="0" w:space="0" w:color="auto"/>
            <w:right w:val="none" w:sz="0" w:space="0" w:color="auto"/>
          </w:divBdr>
        </w:div>
      </w:divsChild>
    </w:div>
    <w:div w:id="525099413">
      <w:bodyDiv w:val="1"/>
      <w:marLeft w:val="0"/>
      <w:marRight w:val="0"/>
      <w:marTop w:val="0"/>
      <w:marBottom w:val="0"/>
      <w:divBdr>
        <w:top w:val="none" w:sz="0" w:space="0" w:color="auto"/>
        <w:left w:val="none" w:sz="0" w:space="0" w:color="auto"/>
        <w:bottom w:val="none" w:sz="0" w:space="0" w:color="auto"/>
        <w:right w:val="none" w:sz="0" w:space="0" w:color="auto"/>
      </w:divBdr>
      <w:divsChild>
        <w:div w:id="1160387712">
          <w:marLeft w:val="547"/>
          <w:marRight w:val="0"/>
          <w:marTop w:val="130"/>
          <w:marBottom w:val="0"/>
          <w:divBdr>
            <w:top w:val="none" w:sz="0" w:space="0" w:color="auto"/>
            <w:left w:val="none" w:sz="0" w:space="0" w:color="auto"/>
            <w:bottom w:val="none" w:sz="0" w:space="0" w:color="auto"/>
            <w:right w:val="none" w:sz="0" w:space="0" w:color="auto"/>
          </w:divBdr>
        </w:div>
        <w:div w:id="1749575441">
          <w:marLeft w:val="547"/>
          <w:marRight w:val="0"/>
          <w:marTop w:val="130"/>
          <w:marBottom w:val="0"/>
          <w:divBdr>
            <w:top w:val="none" w:sz="0" w:space="0" w:color="auto"/>
            <w:left w:val="none" w:sz="0" w:space="0" w:color="auto"/>
            <w:bottom w:val="none" w:sz="0" w:space="0" w:color="auto"/>
            <w:right w:val="none" w:sz="0" w:space="0" w:color="auto"/>
          </w:divBdr>
        </w:div>
      </w:divsChild>
    </w:div>
    <w:div w:id="617957347">
      <w:bodyDiv w:val="1"/>
      <w:marLeft w:val="0"/>
      <w:marRight w:val="0"/>
      <w:marTop w:val="0"/>
      <w:marBottom w:val="0"/>
      <w:divBdr>
        <w:top w:val="none" w:sz="0" w:space="0" w:color="auto"/>
        <w:left w:val="none" w:sz="0" w:space="0" w:color="auto"/>
        <w:bottom w:val="none" w:sz="0" w:space="0" w:color="auto"/>
        <w:right w:val="none" w:sz="0" w:space="0" w:color="auto"/>
      </w:divBdr>
      <w:divsChild>
        <w:div w:id="1306937660">
          <w:marLeft w:val="547"/>
          <w:marRight w:val="0"/>
          <w:marTop w:val="130"/>
          <w:marBottom w:val="0"/>
          <w:divBdr>
            <w:top w:val="none" w:sz="0" w:space="0" w:color="auto"/>
            <w:left w:val="none" w:sz="0" w:space="0" w:color="auto"/>
            <w:bottom w:val="none" w:sz="0" w:space="0" w:color="auto"/>
            <w:right w:val="none" w:sz="0" w:space="0" w:color="auto"/>
          </w:divBdr>
        </w:div>
        <w:div w:id="669874774">
          <w:marLeft w:val="547"/>
          <w:marRight w:val="0"/>
          <w:marTop w:val="130"/>
          <w:marBottom w:val="0"/>
          <w:divBdr>
            <w:top w:val="none" w:sz="0" w:space="0" w:color="auto"/>
            <w:left w:val="none" w:sz="0" w:space="0" w:color="auto"/>
            <w:bottom w:val="none" w:sz="0" w:space="0" w:color="auto"/>
            <w:right w:val="none" w:sz="0" w:space="0" w:color="auto"/>
          </w:divBdr>
        </w:div>
        <w:div w:id="1750466791">
          <w:marLeft w:val="547"/>
          <w:marRight w:val="0"/>
          <w:marTop w:val="130"/>
          <w:marBottom w:val="0"/>
          <w:divBdr>
            <w:top w:val="none" w:sz="0" w:space="0" w:color="auto"/>
            <w:left w:val="none" w:sz="0" w:space="0" w:color="auto"/>
            <w:bottom w:val="none" w:sz="0" w:space="0" w:color="auto"/>
            <w:right w:val="none" w:sz="0" w:space="0" w:color="auto"/>
          </w:divBdr>
        </w:div>
      </w:divsChild>
    </w:div>
    <w:div w:id="80264997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5">
          <w:marLeft w:val="547"/>
          <w:marRight w:val="0"/>
          <w:marTop w:val="120"/>
          <w:marBottom w:val="0"/>
          <w:divBdr>
            <w:top w:val="none" w:sz="0" w:space="0" w:color="auto"/>
            <w:left w:val="none" w:sz="0" w:space="0" w:color="auto"/>
            <w:bottom w:val="none" w:sz="0" w:space="0" w:color="auto"/>
            <w:right w:val="none" w:sz="0" w:space="0" w:color="auto"/>
          </w:divBdr>
        </w:div>
        <w:div w:id="2126776715">
          <w:marLeft w:val="547"/>
          <w:marRight w:val="0"/>
          <w:marTop w:val="120"/>
          <w:marBottom w:val="0"/>
          <w:divBdr>
            <w:top w:val="none" w:sz="0" w:space="0" w:color="auto"/>
            <w:left w:val="none" w:sz="0" w:space="0" w:color="auto"/>
            <w:bottom w:val="none" w:sz="0" w:space="0" w:color="auto"/>
            <w:right w:val="none" w:sz="0" w:space="0" w:color="auto"/>
          </w:divBdr>
        </w:div>
      </w:divsChild>
    </w:div>
    <w:div w:id="1454135987">
      <w:bodyDiv w:val="1"/>
      <w:marLeft w:val="0"/>
      <w:marRight w:val="0"/>
      <w:marTop w:val="0"/>
      <w:marBottom w:val="0"/>
      <w:divBdr>
        <w:top w:val="none" w:sz="0" w:space="0" w:color="auto"/>
        <w:left w:val="none" w:sz="0" w:space="0" w:color="auto"/>
        <w:bottom w:val="none" w:sz="0" w:space="0" w:color="auto"/>
        <w:right w:val="none" w:sz="0" w:space="0" w:color="auto"/>
      </w:divBdr>
      <w:divsChild>
        <w:div w:id="1626539967">
          <w:marLeft w:val="547"/>
          <w:marRight w:val="0"/>
          <w:marTop w:val="120"/>
          <w:marBottom w:val="0"/>
          <w:divBdr>
            <w:top w:val="none" w:sz="0" w:space="0" w:color="auto"/>
            <w:left w:val="none" w:sz="0" w:space="0" w:color="auto"/>
            <w:bottom w:val="none" w:sz="0" w:space="0" w:color="auto"/>
            <w:right w:val="none" w:sz="0" w:space="0" w:color="auto"/>
          </w:divBdr>
        </w:div>
        <w:div w:id="1003506369">
          <w:marLeft w:val="547"/>
          <w:marRight w:val="0"/>
          <w:marTop w:val="120"/>
          <w:marBottom w:val="0"/>
          <w:divBdr>
            <w:top w:val="none" w:sz="0" w:space="0" w:color="auto"/>
            <w:left w:val="none" w:sz="0" w:space="0" w:color="auto"/>
            <w:bottom w:val="none" w:sz="0" w:space="0" w:color="auto"/>
            <w:right w:val="none" w:sz="0" w:space="0" w:color="auto"/>
          </w:divBdr>
        </w:div>
        <w:div w:id="2014725681">
          <w:marLeft w:val="547"/>
          <w:marRight w:val="0"/>
          <w:marTop w:val="120"/>
          <w:marBottom w:val="0"/>
          <w:divBdr>
            <w:top w:val="none" w:sz="0" w:space="0" w:color="auto"/>
            <w:left w:val="none" w:sz="0" w:space="0" w:color="auto"/>
            <w:bottom w:val="none" w:sz="0" w:space="0" w:color="auto"/>
            <w:right w:val="none" w:sz="0" w:space="0" w:color="auto"/>
          </w:divBdr>
        </w:div>
      </w:divsChild>
    </w:div>
    <w:div w:id="1613171066">
      <w:bodyDiv w:val="1"/>
      <w:marLeft w:val="0"/>
      <w:marRight w:val="0"/>
      <w:marTop w:val="0"/>
      <w:marBottom w:val="0"/>
      <w:divBdr>
        <w:top w:val="none" w:sz="0" w:space="0" w:color="auto"/>
        <w:left w:val="none" w:sz="0" w:space="0" w:color="auto"/>
        <w:bottom w:val="none" w:sz="0" w:space="0" w:color="auto"/>
        <w:right w:val="none" w:sz="0" w:space="0" w:color="auto"/>
      </w:divBdr>
      <w:divsChild>
        <w:div w:id="1828784906">
          <w:marLeft w:val="547"/>
          <w:marRight w:val="0"/>
          <w:marTop w:val="130"/>
          <w:marBottom w:val="0"/>
          <w:divBdr>
            <w:top w:val="none" w:sz="0" w:space="0" w:color="auto"/>
            <w:left w:val="none" w:sz="0" w:space="0" w:color="auto"/>
            <w:bottom w:val="none" w:sz="0" w:space="0" w:color="auto"/>
            <w:right w:val="none" w:sz="0" w:space="0" w:color="auto"/>
          </w:divBdr>
        </w:div>
        <w:div w:id="273099396">
          <w:marLeft w:val="547"/>
          <w:marRight w:val="0"/>
          <w:marTop w:val="130"/>
          <w:marBottom w:val="0"/>
          <w:divBdr>
            <w:top w:val="none" w:sz="0" w:space="0" w:color="auto"/>
            <w:left w:val="none" w:sz="0" w:space="0" w:color="auto"/>
            <w:bottom w:val="none" w:sz="0" w:space="0" w:color="auto"/>
            <w:right w:val="none" w:sz="0" w:space="0" w:color="auto"/>
          </w:divBdr>
        </w:div>
        <w:div w:id="340594908">
          <w:marLeft w:val="547"/>
          <w:marRight w:val="0"/>
          <w:marTop w:val="130"/>
          <w:marBottom w:val="0"/>
          <w:divBdr>
            <w:top w:val="none" w:sz="0" w:space="0" w:color="auto"/>
            <w:left w:val="none" w:sz="0" w:space="0" w:color="auto"/>
            <w:bottom w:val="none" w:sz="0" w:space="0" w:color="auto"/>
            <w:right w:val="none" w:sz="0" w:space="0" w:color="auto"/>
          </w:divBdr>
        </w:div>
      </w:divsChild>
    </w:div>
    <w:div w:id="1922330741">
      <w:bodyDiv w:val="1"/>
      <w:marLeft w:val="0"/>
      <w:marRight w:val="0"/>
      <w:marTop w:val="0"/>
      <w:marBottom w:val="0"/>
      <w:divBdr>
        <w:top w:val="none" w:sz="0" w:space="0" w:color="auto"/>
        <w:left w:val="none" w:sz="0" w:space="0" w:color="auto"/>
        <w:bottom w:val="none" w:sz="0" w:space="0" w:color="auto"/>
        <w:right w:val="none" w:sz="0" w:space="0" w:color="auto"/>
      </w:divBdr>
      <w:divsChild>
        <w:div w:id="910506442">
          <w:marLeft w:val="547"/>
          <w:marRight w:val="0"/>
          <w:marTop w:val="144"/>
          <w:marBottom w:val="0"/>
          <w:divBdr>
            <w:top w:val="none" w:sz="0" w:space="0" w:color="auto"/>
            <w:left w:val="none" w:sz="0" w:space="0" w:color="auto"/>
            <w:bottom w:val="none" w:sz="0" w:space="0" w:color="auto"/>
            <w:right w:val="none" w:sz="0" w:space="0" w:color="auto"/>
          </w:divBdr>
        </w:div>
        <w:div w:id="230963604">
          <w:marLeft w:val="547"/>
          <w:marRight w:val="0"/>
          <w:marTop w:val="144"/>
          <w:marBottom w:val="0"/>
          <w:divBdr>
            <w:top w:val="none" w:sz="0" w:space="0" w:color="auto"/>
            <w:left w:val="none" w:sz="0" w:space="0" w:color="auto"/>
            <w:bottom w:val="none" w:sz="0" w:space="0" w:color="auto"/>
            <w:right w:val="none" w:sz="0" w:space="0" w:color="auto"/>
          </w:divBdr>
        </w:div>
      </w:divsChild>
    </w:div>
    <w:div w:id="2070227426">
      <w:bodyDiv w:val="1"/>
      <w:marLeft w:val="0"/>
      <w:marRight w:val="0"/>
      <w:marTop w:val="0"/>
      <w:marBottom w:val="0"/>
      <w:divBdr>
        <w:top w:val="none" w:sz="0" w:space="0" w:color="auto"/>
        <w:left w:val="none" w:sz="0" w:space="0" w:color="auto"/>
        <w:bottom w:val="none" w:sz="0" w:space="0" w:color="auto"/>
        <w:right w:val="none" w:sz="0" w:space="0" w:color="auto"/>
      </w:divBdr>
    </w:div>
    <w:div w:id="2086370915">
      <w:bodyDiv w:val="1"/>
      <w:marLeft w:val="0"/>
      <w:marRight w:val="0"/>
      <w:marTop w:val="0"/>
      <w:marBottom w:val="0"/>
      <w:divBdr>
        <w:top w:val="none" w:sz="0" w:space="0" w:color="auto"/>
        <w:left w:val="none" w:sz="0" w:space="0" w:color="auto"/>
        <w:bottom w:val="none" w:sz="0" w:space="0" w:color="auto"/>
        <w:right w:val="none" w:sz="0" w:space="0" w:color="auto"/>
      </w:divBdr>
      <w:divsChild>
        <w:div w:id="21468506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19B8E61EA6481287522D4B7010BBCC"/>
        <w:category>
          <w:name w:val="Général"/>
          <w:gallery w:val="placeholder"/>
        </w:category>
        <w:types>
          <w:type w:val="bbPlcHdr"/>
        </w:types>
        <w:behaviors>
          <w:behavior w:val="content"/>
        </w:behaviors>
        <w:guid w:val="{38818698-D4FF-4F88-9B23-6DCCB4625A72}"/>
      </w:docPartPr>
      <w:docPartBody>
        <w:p w:rsidR="00000000" w:rsidRDefault="002B546A" w:rsidP="002B546A">
          <w:pPr>
            <w:pStyle w:val="B319B8E61EA6481287522D4B7010BBCC"/>
          </w:pPr>
          <w:r>
            <w:rPr>
              <w:b/>
              <w:bCs/>
              <w:color w:val="1F497D" w:themeColor="text2"/>
              <w:sz w:val="28"/>
              <w:szCs w:val="28"/>
            </w:rPr>
            <w:t>[Tapez le titre du document]</w:t>
          </w:r>
        </w:p>
      </w:docPartBody>
    </w:docPart>
    <w:docPart>
      <w:docPartPr>
        <w:name w:val="B432B8BA69C44B7AA4B2D04932DFE498"/>
        <w:category>
          <w:name w:val="Général"/>
          <w:gallery w:val="placeholder"/>
        </w:category>
        <w:types>
          <w:type w:val="bbPlcHdr"/>
        </w:types>
        <w:behaviors>
          <w:behavior w:val="content"/>
        </w:behaviors>
        <w:guid w:val="{9B2BB69D-665E-4EB9-81CC-149709AE0B71}"/>
      </w:docPartPr>
      <w:docPartBody>
        <w:p w:rsidR="00000000" w:rsidRDefault="002B546A" w:rsidP="002B546A">
          <w:pPr>
            <w:pStyle w:val="B432B8BA69C44B7AA4B2D04932DFE498"/>
          </w:pPr>
          <w:r>
            <w:rPr>
              <w:b/>
              <w:bCs/>
              <w:color w:val="1F497D" w:themeColor="text2"/>
              <w:sz w:val="28"/>
              <w:szCs w:val="28"/>
            </w:rPr>
            <w:t>[Tapez le titre du document]</w:t>
          </w:r>
        </w:p>
      </w:docPartBody>
    </w:docPart>
    <w:docPart>
      <w:docPartPr>
        <w:name w:val="70E5CB500DCF4907B5EE3D6B73D90652"/>
        <w:category>
          <w:name w:val="Général"/>
          <w:gallery w:val="placeholder"/>
        </w:category>
        <w:types>
          <w:type w:val="bbPlcHdr"/>
        </w:types>
        <w:behaviors>
          <w:behavior w:val="content"/>
        </w:behaviors>
        <w:guid w:val="{941CB717-5287-41AF-ABB6-1EE015860EC2}"/>
      </w:docPartPr>
      <w:docPartBody>
        <w:p w:rsidR="00000000" w:rsidRDefault="002B546A" w:rsidP="002B546A">
          <w:pPr>
            <w:pStyle w:val="70E5CB500DCF4907B5EE3D6B73D90652"/>
          </w:pPr>
          <w:r>
            <w:rPr>
              <w:b/>
              <w:bCs/>
              <w:color w:val="1F497D" w:themeColor="text2"/>
              <w:sz w:val="28"/>
              <w:szCs w:val="28"/>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B546A"/>
    <w:rsid w:val="002B546A"/>
    <w:rsid w:val="006F13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5EDA4FA242477B8006152A5E297A9D">
    <w:name w:val="005EDA4FA242477B8006152A5E297A9D"/>
    <w:rsid w:val="002B546A"/>
  </w:style>
  <w:style w:type="paragraph" w:customStyle="1" w:styleId="1B7BDC3B1EDD44239E224C5D31D98AA4">
    <w:name w:val="1B7BDC3B1EDD44239E224C5D31D98AA4"/>
    <w:rsid w:val="002B546A"/>
  </w:style>
  <w:style w:type="paragraph" w:customStyle="1" w:styleId="5873F9C2915045CF8AFA74006B80B4CA">
    <w:name w:val="5873F9C2915045CF8AFA74006B80B4CA"/>
    <w:rsid w:val="002B546A"/>
  </w:style>
  <w:style w:type="paragraph" w:customStyle="1" w:styleId="B319B8E61EA6481287522D4B7010BBCC">
    <w:name w:val="B319B8E61EA6481287522D4B7010BBCC"/>
    <w:rsid w:val="002B546A"/>
  </w:style>
  <w:style w:type="paragraph" w:customStyle="1" w:styleId="B432B8BA69C44B7AA4B2D04932DFE498">
    <w:name w:val="B432B8BA69C44B7AA4B2D04932DFE498"/>
    <w:rsid w:val="002B546A"/>
  </w:style>
  <w:style w:type="paragraph" w:customStyle="1" w:styleId="70E5CB500DCF4907B5EE3D6B73D90652">
    <w:name w:val="70E5CB500DCF4907B5EE3D6B73D90652"/>
    <w:rsid w:val="002B54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170F-FCB6-43C0-9383-554EFE6C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746</Words>
  <Characters>4106</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ET POLITIQUES DE LA VILLE</dc:title>
  <dc:subject>Chap 4:Du rural à l’urbain</dc:subject>
  <dc:creator>BOUFENARA K</dc:creator>
  <cp:lastModifiedBy>boufenara</cp:lastModifiedBy>
  <cp:revision>1</cp:revision>
  <dcterms:created xsi:type="dcterms:W3CDTF">2020-05-30T13:30:00Z</dcterms:created>
  <dcterms:modified xsi:type="dcterms:W3CDTF">2020-05-30T13:44:00Z</dcterms:modified>
</cp:coreProperties>
</file>