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DC" w:rsidRPr="00E04047" w:rsidRDefault="00D54425">
      <w:pPr>
        <w:rPr>
          <w:rFonts w:asciiTheme="majorBidi" w:hAnsiTheme="majorBidi" w:cstheme="majorBidi"/>
          <w:b/>
          <w:bCs/>
          <w:sz w:val="32"/>
          <w:szCs w:val="32"/>
          <w:vertAlign w:val="superscript"/>
        </w:rPr>
      </w:pPr>
      <w:r>
        <w:t xml:space="preserve">                     </w:t>
      </w:r>
      <w:r w:rsidRPr="00E04047">
        <w:rPr>
          <w:rFonts w:asciiTheme="majorBidi" w:hAnsiTheme="majorBidi" w:cstheme="majorBidi"/>
          <w:b/>
          <w:bCs/>
          <w:sz w:val="32"/>
          <w:szCs w:val="32"/>
        </w:rPr>
        <w:t>TP N°3 : Dosage potentiométrique : Fe</w:t>
      </w:r>
      <w:r w:rsidRPr="00E04047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+2</w:t>
      </w:r>
      <w:r w:rsidRPr="00E04047">
        <w:rPr>
          <w:rFonts w:asciiTheme="majorBidi" w:hAnsiTheme="majorBidi" w:cstheme="majorBidi"/>
          <w:b/>
          <w:bCs/>
          <w:sz w:val="32"/>
          <w:szCs w:val="32"/>
        </w:rPr>
        <w:t xml:space="preserve"> par MnO</w:t>
      </w:r>
      <w:r w:rsidRPr="00E04047">
        <w:rPr>
          <w:rFonts w:asciiTheme="majorBidi" w:hAnsiTheme="majorBidi" w:cstheme="majorBidi"/>
          <w:b/>
          <w:bCs/>
          <w:sz w:val="32"/>
          <w:szCs w:val="32"/>
          <w:vertAlign w:val="subscript"/>
        </w:rPr>
        <w:t>4</w:t>
      </w:r>
      <w:r w:rsidRPr="00E04047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-</w:t>
      </w:r>
    </w:p>
    <w:p w:rsidR="00D54425" w:rsidRPr="00BC5AC5" w:rsidRDefault="00D54425">
      <w:pPr>
        <w:rPr>
          <w:rFonts w:asciiTheme="majorBidi" w:hAnsiTheme="majorBidi" w:cstheme="majorBidi"/>
          <w:sz w:val="28"/>
          <w:szCs w:val="28"/>
        </w:rPr>
      </w:pPr>
      <w:r w:rsidRPr="00BC5AC5">
        <w:rPr>
          <w:rFonts w:asciiTheme="majorBidi" w:hAnsiTheme="majorBidi" w:cstheme="majorBidi"/>
          <w:b/>
          <w:bCs/>
          <w:sz w:val="28"/>
          <w:szCs w:val="28"/>
        </w:rPr>
        <w:t>Présentation du dosage:</w:t>
      </w:r>
      <w:r w:rsidRPr="00BC5AC5">
        <w:rPr>
          <w:rFonts w:asciiTheme="majorBidi" w:hAnsiTheme="majorBidi" w:cstheme="majorBidi"/>
          <w:sz w:val="28"/>
          <w:szCs w:val="28"/>
        </w:rPr>
        <w:t xml:space="preserve"> On cherche à mesurer la concentration C</w:t>
      </w:r>
      <w:r w:rsidRPr="00BC5AC5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Pr="00BC5AC5">
        <w:rPr>
          <w:rFonts w:asciiTheme="majorBidi" w:hAnsiTheme="majorBidi" w:cstheme="majorBidi"/>
          <w:sz w:val="28"/>
          <w:szCs w:val="28"/>
        </w:rPr>
        <w:t xml:space="preserve"> d’une solution aqueuse contenant du Fer (II)  sous forme de FeSO</w:t>
      </w:r>
      <w:r w:rsidRPr="00BC5AC5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BC5AC5">
        <w:rPr>
          <w:rFonts w:asciiTheme="majorBidi" w:hAnsiTheme="majorBidi" w:cstheme="majorBidi"/>
          <w:sz w:val="28"/>
          <w:szCs w:val="28"/>
        </w:rPr>
        <w:t>. Pour cela, on réalise un dosage avec du permanganate de potassium : KMnO</w:t>
      </w:r>
      <w:r w:rsidRPr="00BC5AC5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BC5AC5">
        <w:rPr>
          <w:rFonts w:asciiTheme="majorBidi" w:hAnsiTheme="majorBidi" w:cstheme="majorBidi"/>
          <w:sz w:val="28"/>
          <w:szCs w:val="28"/>
        </w:rPr>
        <w:t xml:space="preserve"> de concentration connue </w:t>
      </w:r>
      <w:r w:rsidR="00C6423D" w:rsidRPr="00BC5AC5">
        <w:rPr>
          <w:rFonts w:asciiTheme="majorBidi" w:hAnsiTheme="majorBidi" w:cstheme="majorBidi"/>
          <w:sz w:val="28"/>
          <w:szCs w:val="28"/>
        </w:rPr>
        <w:t>C</w:t>
      </w:r>
      <w:r w:rsidR="00C6423D" w:rsidRPr="00BC5AC5">
        <w:rPr>
          <w:rFonts w:asciiTheme="majorBidi" w:hAnsiTheme="majorBidi" w:cstheme="majorBidi"/>
          <w:sz w:val="28"/>
          <w:szCs w:val="28"/>
          <w:vertAlign w:val="subscript"/>
        </w:rPr>
        <w:t>o</w:t>
      </w:r>
      <w:r w:rsidR="00C6423D" w:rsidRPr="00BC5AC5">
        <w:rPr>
          <w:rFonts w:asciiTheme="majorBidi" w:hAnsiTheme="majorBidi" w:cstheme="majorBidi"/>
          <w:sz w:val="28"/>
          <w:szCs w:val="28"/>
        </w:rPr>
        <w:t xml:space="preserve"> = 0,02 M.</w:t>
      </w:r>
      <w:r w:rsidRPr="00BC5AC5">
        <w:rPr>
          <w:rFonts w:asciiTheme="majorBidi" w:hAnsiTheme="majorBidi" w:cstheme="majorBidi"/>
          <w:sz w:val="28"/>
          <w:szCs w:val="28"/>
        </w:rPr>
        <w:t xml:space="preserve"> Le pH sera m</w:t>
      </w:r>
      <w:r w:rsidR="00C6423D" w:rsidRPr="00BC5AC5">
        <w:rPr>
          <w:rFonts w:asciiTheme="majorBidi" w:hAnsiTheme="majorBidi" w:cstheme="majorBidi"/>
          <w:sz w:val="28"/>
          <w:szCs w:val="28"/>
        </w:rPr>
        <w:t>aintenu constamment proche de 0 ([H</w:t>
      </w:r>
      <w:r w:rsidR="00C6423D" w:rsidRPr="00BC5AC5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C6423D" w:rsidRPr="00BC5AC5">
        <w:rPr>
          <w:rFonts w:asciiTheme="majorBidi" w:hAnsiTheme="majorBidi" w:cstheme="majorBidi"/>
          <w:sz w:val="28"/>
          <w:szCs w:val="28"/>
        </w:rPr>
        <w:t>] = 1M).</w:t>
      </w:r>
    </w:p>
    <w:p w:rsidR="003647EE" w:rsidRPr="00BC5AC5" w:rsidRDefault="00055A73" w:rsidP="00BA63C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C5AC5">
        <w:rPr>
          <w:rFonts w:asciiTheme="majorBidi" w:hAnsiTheme="majorBidi" w:cstheme="majorBidi"/>
          <w:b/>
          <w:bCs/>
          <w:sz w:val="28"/>
          <w:szCs w:val="28"/>
        </w:rPr>
        <w:t>Schéma du montage :</w:t>
      </w:r>
    </w:p>
    <w:p w:rsidR="00352A47" w:rsidRDefault="00352A47" w:rsidP="00BA63C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5758180" cy="430085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30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786" w:rsidRPr="006C6620" w:rsidRDefault="00650786" w:rsidP="0065078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C6620">
        <w:rPr>
          <w:rFonts w:asciiTheme="majorBidi" w:hAnsiTheme="majorBidi" w:cstheme="majorBidi"/>
          <w:b/>
          <w:bCs/>
          <w:sz w:val="28"/>
          <w:szCs w:val="28"/>
        </w:rPr>
        <w:t>Equations de dosage :</w:t>
      </w:r>
    </w:p>
    <w:p w:rsidR="00650786" w:rsidRPr="006C6620" w:rsidRDefault="00F315CA" w:rsidP="0065078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90.4pt;margin-top:9.55pt;width:35.25pt;height:0;flip:x;z-index:25165926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29" type="#_x0000_t32" style="position:absolute;margin-left:90.4pt;margin-top:4.7pt;width:35.25pt;height:0;z-index:251658240" o:connectortype="straight">
            <v:stroke endarrow="block"/>
          </v:shape>
        </w:pict>
      </w:r>
      <w:r w:rsidR="00650786" w:rsidRPr="006C6620">
        <w:rPr>
          <w:rFonts w:asciiTheme="majorBidi" w:hAnsiTheme="majorBidi" w:cstheme="majorBidi"/>
        </w:rPr>
        <w:t>MnO</w:t>
      </w:r>
      <w:r w:rsidR="00650786" w:rsidRPr="006C6620">
        <w:rPr>
          <w:rFonts w:asciiTheme="majorBidi" w:hAnsiTheme="majorBidi" w:cstheme="majorBidi"/>
          <w:vertAlign w:val="subscript"/>
        </w:rPr>
        <w:t>4</w:t>
      </w:r>
      <w:r w:rsidR="00650786" w:rsidRPr="006C6620">
        <w:rPr>
          <w:rFonts w:asciiTheme="majorBidi" w:hAnsiTheme="majorBidi" w:cstheme="majorBidi"/>
          <w:vertAlign w:val="superscript"/>
        </w:rPr>
        <w:t>-</w:t>
      </w:r>
      <w:r w:rsidR="00650786" w:rsidRPr="006C6620">
        <w:rPr>
          <w:rFonts w:asciiTheme="majorBidi" w:hAnsiTheme="majorBidi" w:cstheme="majorBidi"/>
        </w:rPr>
        <w:t xml:space="preserve">  + 8 H</w:t>
      </w:r>
      <w:r w:rsidR="00650786" w:rsidRPr="006C6620">
        <w:rPr>
          <w:rFonts w:asciiTheme="majorBidi" w:hAnsiTheme="majorBidi" w:cstheme="majorBidi"/>
          <w:vertAlign w:val="superscript"/>
        </w:rPr>
        <w:t>+</w:t>
      </w:r>
      <w:r w:rsidR="00650786" w:rsidRPr="006C6620">
        <w:rPr>
          <w:rFonts w:asciiTheme="majorBidi" w:hAnsiTheme="majorBidi" w:cstheme="majorBidi"/>
        </w:rPr>
        <w:t xml:space="preserve"> + 5e                 Mn</w:t>
      </w:r>
      <w:r w:rsidR="00650786" w:rsidRPr="006C6620">
        <w:rPr>
          <w:rFonts w:asciiTheme="majorBidi" w:hAnsiTheme="majorBidi" w:cstheme="majorBidi"/>
          <w:vertAlign w:val="superscript"/>
        </w:rPr>
        <w:t>++</w:t>
      </w:r>
      <w:r w:rsidR="00650786" w:rsidRPr="006C6620">
        <w:rPr>
          <w:rFonts w:asciiTheme="majorBidi" w:hAnsiTheme="majorBidi" w:cstheme="majorBidi"/>
        </w:rPr>
        <w:t xml:space="preserve">   + 4 H</w:t>
      </w:r>
      <w:r w:rsidR="00650786" w:rsidRPr="006C6620">
        <w:rPr>
          <w:rFonts w:asciiTheme="majorBidi" w:hAnsiTheme="majorBidi" w:cstheme="majorBidi"/>
          <w:vertAlign w:val="subscript"/>
        </w:rPr>
        <w:t>2</w:t>
      </w:r>
      <w:r w:rsidR="00650786" w:rsidRPr="006C6620">
        <w:rPr>
          <w:rFonts w:asciiTheme="majorBidi" w:hAnsiTheme="majorBidi" w:cstheme="majorBidi"/>
        </w:rPr>
        <w:t>O</w:t>
      </w:r>
    </w:p>
    <w:p w:rsidR="00650786" w:rsidRPr="006C6620" w:rsidRDefault="00F315CA" w:rsidP="0065078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32" type="#_x0000_t32" style="position:absolute;margin-left:30.4pt;margin-top:8.25pt;width:95.25pt;height:.4pt;flip:x;z-index:25166131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1" type="#_x0000_t32" style="position:absolute;margin-left:30.4pt;margin-top:3.4pt;width:99.4pt;height:.75pt;flip:y;z-index:251660288" o:connectortype="straight">
            <v:stroke endarrow="block"/>
          </v:shape>
        </w:pict>
      </w:r>
      <w:r w:rsidR="00650786" w:rsidRPr="006C6620">
        <w:rPr>
          <w:rFonts w:asciiTheme="majorBidi" w:hAnsiTheme="majorBidi" w:cstheme="majorBidi"/>
        </w:rPr>
        <w:t>5Fe</w:t>
      </w:r>
      <w:r w:rsidR="00650786" w:rsidRPr="006C6620">
        <w:rPr>
          <w:rFonts w:asciiTheme="majorBidi" w:hAnsiTheme="majorBidi" w:cstheme="majorBidi"/>
          <w:vertAlign w:val="superscript"/>
        </w:rPr>
        <w:t>++</w:t>
      </w:r>
      <w:r w:rsidR="00650786" w:rsidRPr="006C6620">
        <w:rPr>
          <w:rFonts w:asciiTheme="majorBidi" w:hAnsiTheme="majorBidi" w:cstheme="majorBidi"/>
        </w:rPr>
        <w:t xml:space="preserve">                                        Fe</w:t>
      </w:r>
      <w:r w:rsidR="00650786" w:rsidRPr="006C6620">
        <w:rPr>
          <w:rFonts w:asciiTheme="majorBidi" w:hAnsiTheme="majorBidi" w:cstheme="majorBidi"/>
          <w:vertAlign w:val="superscript"/>
        </w:rPr>
        <w:t>+++</w:t>
      </w:r>
      <w:r w:rsidR="00650786" w:rsidRPr="006C6620">
        <w:rPr>
          <w:rFonts w:asciiTheme="majorBidi" w:hAnsiTheme="majorBidi" w:cstheme="majorBidi"/>
        </w:rPr>
        <w:t xml:space="preserve"> + 5</w:t>
      </w:r>
      <w:r w:rsidR="00C82721" w:rsidRPr="006C6620">
        <w:rPr>
          <w:rFonts w:asciiTheme="majorBidi" w:hAnsiTheme="majorBidi" w:cstheme="majorBidi"/>
        </w:rPr>
        <w:t>e</w:t>
      </w:r>
    </w:p>
    <w:p w:rsidR="00650786" w:rsidRPr="006C6620" w:rsidRDefault="00F315CA" w:rsidP="0065078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33" type="#_x0000_t32" style="position:absolute;margin-left:99.05pt;margin-top:8.1pt;width:30.75pt;height:.75pt;flip:y;z-index:251662336" o:connectortype="straight">
            <v:stroke endarrow="block"/>
          </v:shape>
        </w:pict>
      </w:r>
      <w:r w:rsidR="00650786" w:rsidRPr="006C6620">
        <w:rPr>
          <w:rFonts w:asciiTheme="majorBidi" w:hAnsiTheme="majorBidi" w:cstheme="majorBidi"/>
        </w:rPr>
        <w:t>MnO</w:t>
      </w:r>
      <w:r w:rsidR="00650786" w:rsidRPr="006C6620">
        <w:rPr>
          <w:rFonts w:asciiTheme="majorBidi" w:hAnsiTheme="majorBidi" w:cstheme="majorBidi"/>
          <w:vertAlign w:val="subscript"/>
        </w:rPr>
        <w:t>4</w:t>
      </w:r>
      <w:r w:rsidR="00650786" w:rsidRPr="006C6620">
        <w:rPr>
          <w:rFonts w:asciiTheme="majorBidi" w:hAnsiTheme="majorBidi" w:cstheme="majorBidi"/>
          <w:vertAlign w:val="superscript"/>
        </w:rPr>
        <w:t>-</w:t>
      </w:r>
      <w:r w:rsidR="00650786" w:rsidRPr="006C6620">
        <w:rPr>
          <w:rFonts w:asciiTheme="majorBidi" w:hAnsiTheme="majorBidi" w:cstheme="majorBidi"/>
        </w:rPr>
        <w:t xml:space="preserve">  + 8 H</w:t>
      </w:r>
      <w:r w:rsidR="00650786" w:rsidRPr="006C6620">
        <w:rPr>
          <w:rFonts w:asciiTheme="majorBidi" w:hAnsiTheme="majorBidi" w:cstheme="majorBidi"/>
          <w:vertAlign w:val="superscript"/>
        </w:rPr>
        <w:t>+</w:t>
      </w:r>
      <w:r w:rsidR="00650786" w:rsidRPr="006C6620">
        <w:rPr>
          <w:rFonts w:asciiTheme="majorBidi" w:hAnsiTheme="majorBidi" w:cstheme="majorBidi"/>
        </w:rPr>
        <w:t xml:space="preserve"> + 5Fe</w:t>
      </w:r>
      <w:r w:rsidR="00650786" w:rsidRPr="006C6620">
        <w:rPr>
          <w:rFonts w:asciiTheme="majorBidi" w:hAnsiTheme="majorBidi" w:cstheme="majorBidi"/>
          <w:vertAlign w:val="superscript"/>
        </w:rPr>
        <w:t>++</w:t>
      </w:r>
      <w:r w:rsidR="00650786" w:rsidRPr="006C6620">
        <w:rPr>
          <w:rFonts w:asciiTheme="majorBidi" w:hAnsiTheme="majorBidi" w:cstheme="majorBidi"/>
        </w:rPr>
        <w:t xml:space="preserve">             Mn</w:t>
      </w:r>
      <w:r w:rsidR="00650786" w:rsidRPr="006C6620">
        <w:rPr>
          <w:rFonts w:asciiTheme="majorBidi" w:hAnsiTheme="majorBidi" w:cstheme="majorBidi"/>
          <w:vertAlign w:val="superscript"/>
        </w:rPr>
        <w:t>++</w:t>
      </w:r>
      <w:r w:rsidR="00650786" w:rsidRPr="006C6620">
        <w:rPr>
          <w:rFonts w:asciiTheme="majorBidi" w:hAnsiTheme="majorBidi" w:cstheme="majorBidi"/>
        </w:rPr>
        <w:t xml:space="preserve">   + 4 H</w:t>
      </w:r>
      <w:r w:rsidR="00650786" w:rsidRPr="006C6620">
        <w:rPr>
          <w:rFonts w:asciiTheme="majorBidi" w:hAnsiTheme="majorBidi" w:cstheme="majorBidi"/>
          <w:vertAlign w:val="subscript"/>
        </w:rPr>
        <w:t>2</w:t>
      </w:r>
      <w:r w:rsidR="00650786" w:rsidRPr="006C6620">
        <w:rPr>
          <w:rFonts w:asciiTheme="majorBidi" w:hAnsiTheme="majorBidi" w:cstheme="majorBidi"/>
        </w:rPr>
        <w:t>O + 5Fe</w:t>
      </w:r>
      <w:r w:rsidR="00DD4C67" w:rsidRPr="006C6620">
        <w:rPr>
          <w:rFonts w:asciiTheme="majorBidi" w:hAnsiTheme="majorBidi" w:cstheme="majorBidi"/>
          <w:vertAlign w:val="superscript"/>
        </w:rPr>
        <w:t>+++</w:t>
      </w:r>
      <w:r w:rsidR="00CF1C59" w:rsidRPr="006C6620">
        <w:rPr>
          <w:rFonts w:asciiTheme="majorBidi" w:hAnsiTheme="majorBidi" w:cstheme="majorBidi"/>
        </w:rPr>
        <w:t xml:space="preserve">    (1)</w:t>
      </w:r>
    </w:p>
    <w:p w:rsidR="004810B9" w:rsidRPr="006C6620" w:rsidRDefault="004810B9" w:rsidP="00F322A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6C6620">
        <w:rPr>
          <w:rFonts w:asciiTheme="majorBidi" w:hAnsiTheme="majorBidi" w:cstheme="majorBidi"/>
          <w:b/>
          <w:bCs/>
          <w:sz w:val="28"/>
          <w:szCs w:val="28"/>
        </w:rPr>
        <w:t xml:space="preserve">Mode opératoire </w:t>
      </w:r>
    </w:p>
    <w:p w:rsidR="00180130" w:rsidRPr="006C6620" w:rsidRDefault="004810B9" w:rsidP="00F322A7">
      <w:pPr>
        <w:spacing w:after="0"/>
        <w:rPr>
          <w:rFonts w:asciiTheme="majorBidi" w:hAnsiTheme="majorBidi" w:cstheme="majorBidi"/>
          <w:sz w:val="28"/>
          <w:szCs w:val="28"/>
        </w:rPr>
      </w:pPr>
      <w:r w:rsidRPr="006C6620">
        <w:rPr>
          <w:rFonts w:asciiTheme="majorBidi" w:hAnsiTheme="majorBidi" w:cstheme="majorBidi"/>
          <w:sz w:val="28"/>
          <w:szCs w:val="28"/>
        </w:rPr>
        <w:t>Verser 10ml de la solution à doser (sulfate de Fe(II))  dans un bécher de 200 ml.</w:t>
      </w:r>
      <w:r w:rsidR="008B590F" w:rsidRPr="006C6620">
        <w:rPr>
          <w:rFonts w:asciiTheme="majorBidi" w:hAnsiTheme="majorBidi" w:cstheme="majorBidi"/>
          <w:sz w:val="28"/>
          <w:szCs w:val="28"/>
        </w:rPr>
        <w:t xml:space="preserve"> Aciduler</w:t>
      </w:r>
      <w:r w:rsidR="00A60794" w:rsidRPr="006C6620">
        <w:rPr>
          <w:rFonts w:asciiTheme="majorBidi" w:hAnsiTheme="majorBidi" w:cstheme="majorBidi"/>
          <w:sz w:val="28"/>
          <w:szCs w:val="28"/>
        </w:rPr>
        <w:t xml:space="preserve"> avec H</w:t>
      </w:r>
      <w:r w:rsidR="00A60794" w:rsidRPr="006C6620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60794" w:rsidRPr="006C6620">
        <w:rPr>
          <w:rFonts w:asciiTheme="majorBidi" w:hAnsiTheme="majorBidi" w:cstheme="majorBidi"/>
          <w:sz w:val="28"/>
          <w:szCs w:val="28"/>
        </w:rPr>
        <w:t>SO</w:t>
      </w:r>
      <w:r w:rsidR="00A60794" w:rsidRPr="006C6620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8B590F" w:rsidRPr="006C6620">
        <w:rPr>
          <w:rFonts w:asciiTheme="majorBidi" w:hAnsiTheme="majorBidi" w:cstheme="majorBidi"/>
          <w:sz w:val="28"/>
          <w:szCs w:val="28"/>
        </w:rPr>
        <w:t xml:space="preserve"> la solution jusqu'à un pH avoisinant 1.</w:t>
      </w:r>
      <w:r w:rsidRPr="006C6620">
        <w:rPr>
          <w:rFonts w:asciiTheme="majorBidi" w:hAnsiTheme="majorBidi" w:cstheme="majorBidi"/>
          <w:sz w:val="28"/>
          <w:szCs w:val="28"/>
        </w:rPr>
        <w:t xml:space="preserve"> Verser chaque fois 0,5ml de la solution titrée de permanganate. Après stabilisation de l’affichage du </w:t>
      </w:r>
      <w:r w:rsidRPr="006C6620">
        <w:rPr>
          <w:rFonts w:asciiTheme="majorBidi" w:hAnsiTheme="majorBidi" w:cstheme="majorBidi"/>
          <w:sz w:val="28"/>
          <w:szCs w:val="28"/>
        </w:rPr>
        <w:lastRenderedPageBreak/>
        <w:t>voltmètre notez la valeur de la tension</w:t>
      </w:r>
      <w:r w:rsidR="00786AB9" w:rsidRPr="006C6620">
        <w:rPr>
          <w:rFonts w:asciiTheme="majorBidi" w:hAnsiTheme="majorBidi" w:cstheme="majorBidi"/>
          <w:sz w:val="28"/>
          <w:szCs w:val="28"/>
        </w:rPr>
        <w:t>.</w:t>
      </w:r>
      <w:r w:rsidR="000F5990" w:rsidRPr="006C6620">
        <w:rPr>
          <w:rFonts w:asciiTheme="majorBidi" w:hAnsiTheme="majorBidi" w:cstheme="majorBidi"/>
          <w:sz w:val="28"/>
          <w:szCs w:val="28"/>
        </w:rPr>
        <w:t xml:space="preserve"> </w:t>
      </w:r>
      <w:r w:rsidR="006821B6" w:rsidRPr="006C6620">
        <w:rPr>
          <w:rFonts w:asciiTheme="majorBidi" w:hAnsiTheme="majorBidi" w:cstheme="majorBidi"/>
          <w:sz w:val="28"/>
          <w:szCs w:val="28"/>
        </w:rPr>
        <w:t xml:space="preserve">Arrêtez le dosage </w:t>
      </w:r>
      <w:r w:rsidR="0090705E" w:rsidRPr="006C6620">
        <w:rPr>
          <w:rFonts w:asciiTheme="majorBidi" w:hAnsiTheme="majorBidi" w:cstheme="majorBidi"/>
          <w:sz w:val="28"/>
          <w:szCs w:val="28"/>
        </w:rPr>
        <w:t xml:space="preserve">après </w:t>
      </w:r>
      <w:r w:rsidR="00102153" w:rsidRPr="006C6620">
        <w:rPr>
          <w:rFonts w:asciiTheme="majorBidi" w:hAnsiTheme="majorBidi" w:cstheme="majorBidi"/>
          <w:sz w:val="28"/>
          <w:szCs w:val="28"/>
        </w:rPr>
        <w:t>5 a</w:t>
      </w:r>
      <w:r w:rsidR="00DF233B" w:rsidRPr="006C6620">
        <w:rPr>
          <w:rFonts w:asciiTheme="majorBidi" w:hAnsiTheme="majorBidi" w:cstheme="majorBidi"/>
          <w:sz w:val="28"/>
          <w:szCs w:val="28"/>
        </w:rPr>
        <w:t>jouts à partir du saut de potentiel</w:t>
      </w:r>
      <w:r w:rsidR="007B44AE" w:rsidRPr="006C6620">
        <w:rPr>
          <w:rFonts w:asciiTheme="majorBidi" w:hAnsiTheme="majorBidi" w:cstheme="majorBidi"/>
          <w:sz w:val="28"/>
          <w:szCs w:val="28"/>
        </w:rPr>
        <w:t>.</w:t>
      </w:r>
    </w:p>
    <w:p w:rsidR="00E8338D" w:rsidRPr="006C6620" w:rsidRDefault="00E8338D" w:rsidP="00F322A7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E8338D" w:rsidRDefault="00E8338D" w:rsidP="00F322A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6C6620">
        <w:rPr>
          <w:rFonts w:asciiTheme="majorBidi" w:hAnsiTheme="majorBidi" w:cstheme="majorBidi"/>
          <w:b/>
          <w:bCs/>
          <w:sz w:val="28"/>
          <w:szCs w:val="28"/>
        </w:rPr>
        <w:t>Résultats de dosage</w:t>
      </w:r>
    </w:p>
    <w:p w:rsidR="006C6620" w:rsidRPr="006C6620" w:rsidRDefault="006C6620" w:rsidP="00F322A7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2B719C" w:rsidRPr="006C6620" w:rsidRDefault="00F06C74" w:rsidP="002B719C">
      <w:pPr>
        <w:rPr>
          <w:sz w:val="28"/>
          <w:szCs w:val="28"/>
        </w:rPr>
      </w:pPr>
      <w:r w:rsidRPr="006C6620">
        <w:rPr>
          <w:sz w:val="28"/>
          <w:szCs w:val="28"/>
        </w:rPr>
        <w:t xml:space="preserve"> </w:t>
      </w:r>
      <w:r w:rsidR="002B719C" w:rsidRPr="006C6620">
        <w:rPr>
          <w:sz w:val="28"/>
          <w:szCs w:val="28"/>
        </w:rPr>
        <w:t xml:space="preserve"> V/ml </w:t>
      </w:r>
      <w:r w:rsidRPr="006C6620">
        <w:rPr>
          <w:sz w:val="28"/>
          <w:szCs w:val="28"/>
        </w:rPr>
        <w:t>(KMnO</w:t>
      </w:r>
      <w:r w:rsidRPr="006C6620">
        <w:rPr>
          <w:sz w:val="28"/>
          <w:szCs w:val="28"/>
          <w:vertAlign w:val="subscript"/>
        </w:rPr>
        <w:t>4</w:t>
      </w:r>
      <w:r w:rsidRPr="006C6620">
        <w:rPr>
          <w:sz w:val="28"/>
          <w:szCs w:val="28"/>
        </w:rPr>
        <w:t>)</w:t>
      </w:r>
      <w:r w:rsidR="006C6620">
        <w:rPr>
          <w:sz w:val="28"/>
          <w:szCs w:val="28"/>
        </w:rPr>
        <w:t xml:space="preserve">  </w:t>
      </w:r>
      <w:r w:rsidR="002B719C" w:rsidRPr="006C6620">
        <w:rPr>
          <w:sz w:val="28"/>
          <w:szCs w:val="28"/>
        </w:rPr>
        <w:t xml:space="preserve">E/V (ECS)  </w:t>
      </w:r>
      <w:r w:rsidR="002B719C" w:rsidRPr="006C6620">
        <w:rPr>
          <w:sz w:val="28"/>
          <w:szCs w:val="28"/>
        </w:rPr>
        <w:tab/>
      </w:r>
    </w:p>
    <w:tbl>
      <w:tblPr>
        <w:tblW w:w="243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</w:tblGrid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F06C74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2B719C"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2B719C"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0,713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74E7E"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0,734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0,748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0,759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0,77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0,78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0,791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0,805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0,826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1,386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1,498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1,501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1,503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1,505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7,5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1,506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1,507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1,508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1,5088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9,5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1,5094</w:t>
            </w:r>
          </w:p>
        </w:tc>
      </w:tr>
      <w:tr w:rsidR="002B719C" w:rsidRPr="006C662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B74E7E" w:rsidP="006C6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6C662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6C662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1,51</w:t>
            </w:r>
          </w:p>
        </w:tc>
      </w:tr>
      <w:tr w:rsidR="002B719C" w:rsidRPr="001452E0" w:rsidTr="005E5CF9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B719C" w:rsidRPr="001452E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9C" w:rsidRPr="001452E0" w:rsidRDefault="002B719C" w:rsidP="005E5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DB42F3" w:rsidRPr="006C6620" w:rsidRDefault="00DB42F3" w:rsidP="00DB42F3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6C6620">
        <w:rPr>
          <w:rFonts w:asciiTheme="majorBidi" w:hAnsiTheme="majorBidi" w:cstheme="majorBidi"/>
          <w:b/>
          <w:bCs/>
          <w:sz w:val="28"/>
          <w:szCs w:val="28"/>
        </w:rPr>
        <w:t>Questions :</w:t>
      </w:r>
    </w:p>
    <w:p w:rsidR="007B6F39" w:rsidRPr="006C6620" w:rsidRDefault="00DB42F3" w:rsidP="007B6F39">
      <w:pPr>
        <w:tabs>
          <w:tab w:val="right" w:pos="9072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6C6620">
        <w:rPr>
          <w:rFonts w:asciiTheme="majorBidi" w:hAnsiTheme="majorBidi" w:cstheme="majorBidi"/>
          <w:sz w:val="28"/>
          <w:szCs w:val="28"/>
        </w:rPr>
        <w:t>Tracer les courbes E = f(V), ∆E</w:t>
      </w:r>
      <w:r w:rsidR="007B6F39" w:rsidRPr="006C6620">
        <w:rPr>
          <w:rFonts w:asciiTheme="majorBidi" w:hAnsiTheme="majorBidi" w:cstheme="majorBidi"/>
          <w:sz w:val="28"/>
          <w:szCs w:val="28"/>
        </w:rPr>
        <w:t>/∆V</w:t>
      </w:r>
      <w:r w:rsidRPr="006C6620">
        <w:rPr>
          <w:rFonts w:asciiTheme="majorBidi" w:hAnsiTheme="majorBidi" w:cstheme="majorBidi"/>
          <w:sz w:val="28"/>
          <w:szCs w:val="28"/>
        </w:rPr>
        <w:t xml:space="preserve"> = f(V) et ∆</w:t>
      </w:r>
      <w:r w:rsidRPr="006C6620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6C6620">
        <w:rPr>
          <w:rFonts w:asciiTheme="majorBidi" w:hAnsiTheme="majorBidi" w:cstheme="majorBidi"/>
          <w:sz w:val="28"/>
          <w:szCs w:val="28"/>
        </w:rPr>
        <w:t>E</w:t>
      </w:r>
      <w:r w:rsidR="007B6F39" w:rsidRPr="006C6620">
        <w:rPr>
          <w:rFonts w:asciiTheme="majorBidi" w:hAnsiTheme="majorBidi" w:cstheme="majorBidi"/>
          <w:sz w:val="28"/>
          <w:szCs w:val="28"/>
        </w:rPr>
        <w:t>/∆V</w:t>
      </w:r>
      <w:r w:rsidR="007B6F39" w:rsidRPr="006C6620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6C6620">
        <w:rPr>
          <w:rFonts w:asciiTheme="majorBidi" w:hAnsiTheme="majorBidi" w:cstheme="majorBidi"/>
          <w:sz w:val="28"/>
          <w:szCs w:val="28"/>
        </w:rPr>
        <w:t xml:space="preserve"> = f(V)</w:t>
      </w:r>
      <w:r w:rsidR="007B6F39" w:rsidRPr="006C662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7B6F39" w:rsidRPr="006C6620">
        <w:rPr>
          <w:rFonts w:asciiTheme="majorBidi" w:hAnsiTheme="majorBidi" w:cstheme="majorBidi"/>
          <w:sz w:val="28"/>
          <w:szCs w:val="28"/>
        </w:rPr>
        <w:t>Comparer les volumes équivalents trouvés de KMnO</w:t>
      </w:r>
      <w:r w:rsidR="007B6F39" w:rsidRPr="006C6620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7B6F39" w:rsidRPr="006C6620">
        <w:rPr>
          <w:rFonts w:asciiTheme="majorBidi" w:hAnsiTheme="majorBidi" w:cstheme="majorBidi"/>
          <w:sz w:val="28"/>
          <w:szCs w:val="28"/>
        </w:rPr>
        <w:t xml:space="preserve"> à partir de ces courbes.</w:t>
      </w:r>
    </w:p>
    <w:p w:rsidR="007B6F39" w:rsidRPr="006C6620" w:rsidRDefault="007B6F39" w:rsidP="007B6F39">
      <w:pPr>
        <w:tabs>
          <w:tab w:val="right" w:pos="9072"/>
        </w:tabs>
        <w:spacing w:after="0"/>
        <w:rPr>
          <w:rFonts w:asciiTheme="majorBidi" w:hAnsiTheme="majorBidi" w:cstheme="majorBidi"/>
          <w:sz w:val="28"/>
          <w:szCs w:val="28"/>
          <w:vertAlign w:val="subscript"/>
        </w:rPr>
      </w:pPr>
      <w:r w:rsidRPr="006C6620">
        <w:rPr>
          <w:rFonts w:asciiTheme="majorBidi" w:hAnsiTheme="majorBidi" w:cstheme="majorBidi"/>
          <w:sz w:val="28"/>
          <w:szCs w:val="28"/>
        </w:rPr>
        <w:t>Trouver la formule d’équivalence</w:t>
      </w:r>
      <w:r w:rsidR="00CF1C59" w:rsidRPr="006C6620">
        <w:rPr>
          <w:rFonts w:asciiTheme="majorBidi" w:hAnsiTheme="majorBidi" w:cstheme="majorBidi"/>
          <w:sz w:val="28"/>
          <w:szCs w:val="28"/>
        </w:rPr>
        <w:t>, à partir de la réaction globale d’oxydo-réduction (1), pour calculer la concentration inconnue de FeSO</w:t>
      </w:r>
      <w:r w:rsidR="00CF1C59" w:rsidRPr="006C6620">
        <w:rPr>
          <w:rFonts w:asciiTheme="majorBidi" w:hAnsiTheme="majorBidi" w:cstheme="majorBidi"/>
          <w:sz w:val="28"/>
          <w:szCs w:val="28"/>
          <w:vertAlign w:val="subscript"/>
        </w:rPr>
        <w:t>4</w:t>
      </w:r>
    </w:p>
    <w:p w:rsidR="00DB42F3" w:rsidRPr="006C6620" w:rsidRDefault="00DB42F3" w:rsidP="007B6F39">
      <w:pPr>
        <w:tabs>
          <w:tab w:val="right" w:pos="9072"/>
        </w:tabs>
        <w:spacing w:after="0"/>
        <w:rPr>
          <w:rFonts w:asciiTheme="majorBidi" w:hAnsiTheme="majorBidi" w:cstheme="majorBidi"/>
          <w:sz w:val="28"/>
          <w:szCs w:val="28"/>
        </w:rPr>
      </w:pPr>
      <w:r w:rsidRPr="006C6620">
        <w:rPr>
          <w:rFonts w:asciiTheme="majorBidi" w:hAnsiTheme="majorBidi" w:cstheme="majorBidi"/>
          <w:sz w:val="28"/>
          <w:szCs w:val="28"/>
        </w:rPr>
        <w:t>Déterminer la concentration inconnue de FeSO</w:t>
      </w:r>
      <w:r w:rsidRPr="006C6620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Pr="006C6620">
        <w:rPr>
          <w:rFonts w:asciiTheme="majorBidi" w:hAnsiTheme="majorBidi" w:cstheme="majorBidi"/>
          <w:sz w:val="28"/>
          <w:szCs w:val="28"/>
        </w:rPr>
        <w:t>.</w:t>
      </w:r>
    </w:p>
    <w:p w:rsidR="002B719C" w:rsidRPr="008B590F" w:rsidRDefault="002B719C" w:rsidP="00F322A7">
      <w:pPr>
        <w:spacing w:after="0"/>
        <w:rPr>
          <w:rFonts w:asciiTheme="majorBidi" w:hAnsiTheme="majorBidi" w:cstheme="majorBidi"/>
        </w:rPr>
      </w:pPr>
    </w:p>
    <w:sectPr w:rsidR="002B719C" w:rsidRPr="008B590F" w:rsidSect="0055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4425"/>
    <w:rsid w:val="00055A73"/>
    <w:rsid w:val="000A4B29"/>
    <w:rsid w:val="000F15BC"/>
    <w:rsid w:val="000F5990"/>
    <w:rsid w:val="00102153"/>
    <w:rsid w:val="00113A1C"/>
    <w:rsid w:val="00180130"/>
    <w:rsid w:val="001A5AAB"/>
    <w:rsid w:val="001F1DB5"/>
    <w:rsid w:val="002444A1"/>
    <w:rsid w:val="002A66F8"/>
    <w:rsid w:val="002B719C"/>
    <w:rsid w:val="00352A47"/>
    <w:rsid w:val="003647EE"/>
    <w:rsid w:val="00424753"/>
    <w:rsid w:val="00430AEC"/>
    <w:rsid w:val="004810B9"/>
    <w:rsid w:val="005536F6"/>
    <w:rsid w:val="005C1F67"/>
    <w:rsid w:val="00643323"/>
    <w:rsid w:val="00650786"/>
    <w:rsid w:val="006821B6"/>
    <w:rsid w:val="006C6620"/>
    <w:rsid w:val="00786AB9"/>
    <w:rsid w:val="007B44AE"/>
    <w:rsid w:val="007B6F39"/>
    <w:rsid w:val="007F142D"/>
    <w:rsid w:val="008B590F"/>
    <w:rsid w:val="0090705E"/>
    <w:rsid w:val="00971EAB"/>
    <w:rsid w:val="0098516A"/>
    <w:rsid w:val="00A44B1F"/>
    <w:rsid w:val="00A60794"/>
    <w:rsid w:val="00A64B0B"/>
    <w:rsid w:val="00B0677C"/>
    <w:rsid w:val="00B566C3"/>
    <w:rsid w:val="00B74E7E"/>
    <w:rsid w:val="00B77BB1"/>
    <w:rsid w:val="00BA63C6"/>
    <w:rsid w:val="00BC5AC5"/>
    <w:rsid w:val="00C6423D"/>
    <w:rsid w:val="00C82721"/>
    <w:rsid w:val="00CF1C59"/>
    <w:rsid w:val="00D016A6"/>
    <w:rsid w:val="00D14C01"/>
    <w:rsid w:val="00D54425"/>
    <w:rsid w:val="00DB42F3"/>
    <w:rsid w:val="00DC08FF"/>
    <w:rsid w:val="00DD4C67"/>
    <w:rsid w:val="00DF233B"/>
    <w:rsid w:val="00E04047"/>
    <w:rsid w:val="00E8338D"/>
    <w:rsid w:val="00EB0819"/>
    <w:rsid w:val="00EB4348"/>
    <w:rsid w:val="00F06C74"/>
    <w:rsid w:val="00F30C1C"/>
    <w:rsid w:val="00F315CA"/>
    <w:rsid w:val="00F3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32"/>
        <o:r id="V:Rule7" type="connector" idref="#_x0000_s1033"/>
        <o:r id="V:Rule8" type="connector" idref="#_x0000_s1031"/>
        <o:r id="V:Rule9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ALL</dc:creator>
  <cp:lastModifiedBy>Utilisateur Windows</cp:lastModifiedBy>
  <cp:revision>2</cp:revision>
  <cp:lastPrinted>2019-04-15T09:52:00Z</cp:lastPrinted>
  <dcterms:created xsi:type="dcterms:W3CDTF">2020-05-27T21:28:00Z</dcterms:created>
  <dcterms:modified xsi:type="dcterms:W3CDTF">2020-05-27T21:28:00Z</dcterms:modified>
</cp:coreProperties>
</file>