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1F" w:rsidRDefault="00CC67FE" w:rsidP="00D92A8F">
      <w:pPr>
        <w:rPr>
          <w:szCs w:val="24"/>
        </w:rPr>
      </w:pPr>
      <w:r w:rsidRPr="00D92A8F">
        <w:rPr>
          <w:szCs w:val="24"/>
        </w:rPr>
        <w:t xml:space="preserve"> </w:t>
      </w:r>
    </w:p>
    <w:p w:rsidR="00D92A8F" w:rsidRDefault="00D92A8F" w:rsidP="00D92A8F">
      <w:pPr>
        <w:rPr>
          <w:szCs w:val="24"/>
        </w:rPr>
      </w:pPr>
    </w:p>
    <w:p w:rsidR="00D92A8F" w:rsidRPr="00820958" w:rsidRDefault="00D92A8F" w:rsidP="00820958">
      <w:pPr>
        <w:shd w:val="clear" w:color="auto" w:fill="FFFFCC"/>
        <w:bidi w:val="0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noProof w:val="0"/>
          <w:color w:val="CC6600"/>
          <w:kern w:val="36"/>
          <w:sz w:val="28"/>
          <w:szCs w:val="28"/>
          <w:lang w:val="en-US"/>
        </w:rPr>
      </w:pPr>
      <w:r w:rsidRPr="00820958">
        <w:rPr>
          <w:rFonts w:ascii="Verdana" w:eastAsia="Times New Roman" w:hAnsi="Verdana" w:cs="Times New Roman"/>
          <w:b/>
          <w:bCs/>
          <w:noProof w:val="0"/>
          <w:color w:val="CC6600"/>
          <w:kern w:val="36"/>
          <w:sz w:val="28"/>
          <w:szCs w:val="28"/>
          <w:lang w:val="en-US"/>
        </w:rPr>
        <w:t>Polarimétrie</w:t>
      </w:r>
    </w:p>
    <w:p w:rsidR="00D92A8F" w:rsidRPr="00D92A8F" w:rsidRDefault="00CD2A8B" w:rsidP="00D92A8F">
      <w:pPr>
        <w:shd w:val="clear" w:color="auto" w:fill="FFFFCC"/>
        <w:bidi w:val="0"/>
        <w:spacing w:after="100" w:line="240" w:lineRule="auto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CD2A8B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pict>
          <v:rect id="_x0000_i1025" style="width:415.3pt;height:1.5pt" o:hralign="center" o:hrstd="t" o:hr="t" fillcolor="#a0a0a0" stroked="f"/>
        </w:pict>
      </w:r>
    </w:p>
    <w:p w:rsidR="00D92A8F" w:rsidRPr="00C9013F" w:rsidRDefault="00D92A8F" w:rsidP="00D92A8F">
      <w:pPr>
        <w:shd w:val="clear" w:color="auto" w:fill="FFFFCC"/>
        <w:bidi w:val="0"/>
        <w:spacing w:beforeAutospacing="1" w:after="100" w:afterAutospacing="1" w:line="360" w:lineRule="auto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</w:rPr>
      </w:pPr>
      <w:r w:rsidRPr="00C9013F">
        <w:rPr>
          <w:rFonts w:ascii="Verdana" w:eastAsia="Times New Roman" w:hAnsi="Verdana" w:cs="Times New Roman"/>
          <w:i/>
          <w:iCs/>
          <w:noProof w:val="0"/>
          <w:color w:val="4B84BF"/>
          <w:sz w:val="24"/>
          <w:szCs w:val="24"/>
        </w:rPr>
        <w:t>La polarimétrie est une technique expérimentale basée sur la me</w:t>
      </w:r>
      <w:r w:rsidR="00FF25FB" w:rsidRPr="00C9013F">
        <w:rPr>
          <w:rFonts w:ascii="Verdana" w:eastAsia="Times New Roman" w:hAnsi="Verdana" w:cs="Times New Roman"/>
          <w:i/>
          <w:iCs/>
          <w:noProof w:val="0"/>
          <w:color w:val="4B84BF"/>
          <w:sz w:val="24"/>
          <w:szCs w:val="24"/>
        </w:rPr>
        <w:t xml:space="preserve">sure </w:t>
      </w:r>
      <w:r w:rsidR="006A58DB" w:rsidRPr="00C9013F">
        <w:rPr>
          <w:rFonts w:ascii="Verdana" w:eastAsia="Times New Roman" w:hAnsi="Verdana" w:cs="Times New Roman"/>
          <w:i/>
          <w:iCs/>
          <w:noProof w:val="0"/>
          <w:color w:val="4B84BF"/>
          <w:sz w:val="24"/>
          <w:szCs w:val="24"/>
        </w:rPr>
        <w:t xml:space="preserve">de la déviation du plan de </w:t>
      </w:r>
      <w:r w:rsidRPr="00C9013F">
        <w:rPr>
          <w:rFonts w:ascii="Verdana" w:eastAsia="Times New Roman" w:hAnsi="Verdana" w:cs="Times New Roman"/>
          <w:i/>
          <w:iCs/>
          <w:noProof w:val="0"/>
          <w:color w:val="4B84BF"/>
          <w:sz w:val="24"/>
          <w:szCs w:val="24"/>
        </w:rPr>
        <w:t>polarisation d'une lumière polarisée traversant une solution composée d'une ou de plusieurs molécules chirales.</w:t>
      </w:r>
    </w:p>
    <w:p w:rsidR="00D92A8F" w:rsidRPr="00D92A8F" w:rsidRDefault="00D92A8F" w:rsidP="00D92A8F">
      <w:pPr>
        <w:shd w:val="clear" w:color="auto" w:fill="FFFFCC"/>
        <w:bidi w:val="0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i/>
          <w:iCs/>
          <w:noProof w:val="0"/>
          <w:color w:val="4B84BF"/>
          <w:sz w:val="24"/>
          <w:szCs w:val="24"/>
          <w:lang w:val="en-US"/>
        </w:rPr>
        <w:t>Cette méthode n'est applicable qu'aux molécules optiquement actives (chirales). Elle a été découverte par </w:t>
      </w:r>
      <w:hyperlink r:id="rId5" w:history="1">
        <w:r w:rsidRPr="00D92A8F">
          <w:rPr>
            <w:rFonts w:ascii="Verdana" w:eastAsia="Times New Roman" w:hAnsi="Verdana" w:cs="Times New Roman"/>
            <w:i/>
            <w:iCs/>
            <w:noProof w:val="0"/>
            <w:color w:val="0033CC"/>
            <w:sz w:val="24"/>
            <w:szCs w:val="24"/>
            <w:u w:val="single"/>
            <w:lang w:val="en-US"/>
          </w:rPr>
          <w:t>Biot</w:t>
        </w:r>
      </w:hyperlink>
      <w:r w:rsidRPr="00D92A8F">
        <w:rPr>
          <w:rFonts w:ascii="Verdana" w:eastAsia="Times New Roman" w:hAnsi="Verdana" w:cs="Times New Roman"/>
          <w:i/>
          <w:iCs/>
          <w:noProof w:val="0"/>
          <w:color w:val="4B84BF"/>
          <w:sz w:val="24"/>
          <w:szCs w:val="24"/>
          <w:lang w:val="en-US"/>
        </w:rPr>
        <w:t> en 1812 sur des cristaux puis en 1815 sur des molécules organiques.</w:t>
      </w:r>
    </w:p>
    <w:p w:rsidR="00D92A8F" w:rsidRPr="00D92A8F" w:rsidRDefault="00D92A8F" w:rsidP="00D92A8F">
      <w:pPr>
        <w:shd w:val="clear" w:color="auto" w:fill="FFFFCC"/>
        <w:bidi w:val="0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noProof w:val="0"/>
          <w:color w:val="4C4B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b/>
          <w:bCs/>
          <w:noProof w:val="0"/>
          <w:color w:val="4C4BBF"/>
          <w:sz w:val="24"/>
          <w:szCs w:val="24"/>
          <w:lang w:val="en-US"/>
        </w:rPr>
        <w:t>Rappels succincts</w:t>
      </w:r>
    </w:p>
    <w:p w:rsidR="00D92A8F" w:rsidRPr="00D92A8F" w:rsidRDefault="00D92A8F" w:rsidP="00D92A8F">
      <w:pPr>
        <w:shd w:val="clear" w:color="auto" w:fill="FFFFCC"/>
        <w:bidi w:val="0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On rappelle le vocabulaire de base :</w:t>
      </w:r>
    </w:p>
    <w:p w:rsidR="00D92A8F" w:rsidRPr="00D92A8F" w:rsidRDefault="00D92A8F" w:rsidP="00D92A8F">
      <w:pPr>
        <w:numPr>
          <w:ilvl w:val="0"/>
          <w:numId w:val="7"/>
        </w:numPr>
        <w:shd w:val="clear" w:color="auto" w:fill="FFFFCC"/>
        <w:bidi w:val="0"/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 xml:space="preserve">Molécule </w:t>
      </w:r>
      <w:r w:rsidR="006A58DB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chirale</w:t>
      </w:r>
      <w:r w:rsidR="00FF25FB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 xml:space="preserve">: </w:t>
      </w: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molécule possédant au moins un carbone asymétrique (ou carbone stéréogène).</w:t>
      </w:r>
    </w:p>
    <w:p w:rsidR="00D92A8F" w:rsidRPr="00D92A8F" w:rsidRDefault="00FF25FB" w:rsidP="00D92A8F">
      <w:pPr>
        <w:numPr>
          <w:ilvl w:val="0"/>
          <w:numId w:val="7"/>
        </w:numPr>
        <w:shd w:val="clear" w:color="auto" w:fill="FFFFCC"/>
        <w:bidi w:val="0"/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Stéréoisomères</w:t>
      </w:r>
      <w:r w:rsidR="00D92A8F"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: ce sont des molécules de formule (développée) donnée dont la structure spatiale est différente.</w:t>
      </w:r>
    </w:p>
    <w:p w:rsidR="00D92A8F" w:rsidRPr="00D92A8F" w:rsidRDefault="00FF25FB" w:rsidP="00D92A8F">
      <w:pPr>
        <w:numPr>
          <w:ilvl w:val="0"/>
          <w:numId w:val="7"/>
        </w:numPr>
        <w:shd w:val="clear" w:color="auto" w:fill="FFFFCC"/>
        <w:bidi w:val="0"/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Enantiomère</w:t>
      </w:r>
      <w:r w:rsidR="00D92A8F"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: on appelle énantiomère un des stéréoisomères d'une molécule chirale.</w:t>
      </w:r>
    </w:p>
    <w:p w:rsidR="00D92A8F" w:rsidRPr="00D92A8F" w:rsidRDefault="00D92A8F" w:rsidP="00FF25FB">
      <w:pPr>
        <w:numPr>
          <w:ilvl w:val="0"/>
          <w:numId w:val="7"/>
        </w:numPr>
        <w:shd w:val="clear" w:color="auto" w:fill="FFFFCC"/>
        <w:bidi w:val="0"/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Solution optiquement active: solution renfermant des molécules chirales.</w:t>
      </w:r>
    </w:p>
    <w:p w:rsidR="00D92A8F" w:rsidRPr="00D92A8F" w:rsidRDefault="00FF25FB" w:rsidP="00D92A8F">
      <w:pPr>
        <w:numPr>
          <w:ilvl w:val="0"/>
          <w:numId w:val="7"/>
        </w:numPr>
        <w:shd w:val="clear" w:color="auto" w:fill="FFFFCC"/>
        <w:bidi w:val="0"/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Mélange racémique</w:t>
      </w:r>
      <w:r w:rsidR="00D92A8F"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: c’est une solution contenant un mélange équimolaire de deux énantiomères. Son pouvoir rotatoire est nul.</w:t>
      </w:r>
    </w:p>
    <w:p w:rsidR="00D92A8F" w:rsidRPr="00D92A8F" w:rsidRDefault="00D92A8F" w:rsidP="00D92A8F">
      <w:pPr>
        <w:shd w:val="clear" w:color="auto" w:fill="FFFFCC"/>
        <w:bidi w:val="0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noProof w:val="0"/>
          <w:color w:val="4C4B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b/>
          <w:bCs/>
          <w:noProof w:val="0"/>
          <w:color w:val="4C4BBF"/>
          <w:sz w:val="24"/>
          <w:szCs w:val="24"/>
          <w:lang w:val="en-US"/>
        </w:rPr>
        <w:t>Lumière polarisée</w:t>
      </w:r>
    </w:p>
    <w:p w:rsidR="00D92A8F" w:rsidRPr="00D92A8F" w:rsidRDefault="00D92A8F" w:rsidP="00FF25FB">
      <w:pPr>
        <w:shd w:val="clear" w:color="auto" w:fill="FFFFCC"/>
        <w:bidi w:val="0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 xml:space="preserve">La lumière polarisée a été découverte par Malus en 1809. Une lumière "normale" est composée d'un champ électrique </w:t>
      </w:r>
      <w:r w:rsidR="00FF25FB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et d'un champ électromagnétique</w:t>
      </w: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:</w:t>
      </w:r>
      <w:r w:rsidR="00FF25FB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 xml:space="preserve"> </w:t>
      </w: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on parle aussi d'onde électromagnétique. Limitons nous au champ électrique, celui auquel l'oeil est sensible. Ce champ peut prendre n'importe quelle direction. Dans une lumière polarisée, le champ électrique est limitée à une seule direction.</w:t>
      </w:r>
    </w:p>
    <w:p w:rsidR="00D92A8F" w:rsidRPr="00D92A8F" w:rsidRDefault="00D92A8F" w:rsidP="00FF25FB">
      <w:pPr>
        <w:shd w:val="clear" w:color="auto" w:fill="FFFFCC"/>
        <w:bidi w:val="0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color w:val="4B84BF"/>
          <w:sz w:val="24"/>
          <w:szCs w:val="24"/>
          <w:lang w:eastAsia="fr-FR"/>
        </w:rPr>
        <w:lastRenderedPageBreak/>
        <w:drawing>
          <wp:inline distT="0" distB="0" distL="0" distR="0">
            <wp:extent cx="2075071" cy="1614460"/>
            <wp:effectExtent l="19050" t="0" r="1379" b="0"/>
            <wp:docPr id="17" name="Image 94" descr="poalrisation_chp_e.gif (7412 octet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poalrisation_chp_e.gif (7412 octets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61" cy="161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A8F" w:rsidRPr="00D92A8F" w:rsidRDefault="00D92A8F" w:rsidP="00D92A8F">
      <w:pPr>
        <w:shd w:val="clear" w:color="auto" w:fill="FFFFCC"/>
        <w:bidi w:val="0"/>
        <w:spacing w:beforeAutospacing="1" w:after="100" w:afterAutospacing="1" w:line="240" w:lineRule="auto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Cette lumière polarisée s'obtient à l'aide d'un polariseur ou encore polaroïde, composé d'un polymère filtrant les composantes du champ électrique selon la direction perpendiculaire aux " lignes de polymères ".</w:t>
      </w:r>
    </w:p>
    <w:p w:rsidR="00D92A8F" w:rsidRPr="00D92A8F" w:rsidRDefault="00D92A8F" w:rsidP="00D92A8F">
      <w:pPr>
        <w:shd w:val="clear" w:color="auto" w:fill="FFFFCC"/>
        <w:bidi w:val="0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Deux lames polaroïdes placées devant une source de lumière laisseront passer la lumière si celle-ci sont parallèles, la bloqueront lorsqu'elles seront perpendiculaires</w:t>
      </w:r>
    </w:p>
    <w:tbl>
      <w:tblPr>
        <w:tblW w:w="8422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7"/>
        <w:gridCol w:w="6045"/>
      </w:tblGrid>
      <w:tr w:rsidR="00D92A8F" w:rsidRPr="00D92A8F" w:rsidTr="00FF25FB">
        <w:trPr>
          <w:trHeight w:val="146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92A8F" w:rsidRPr="00D92A8F" w:rsidRDefault="00D92A8F" w:rsidP="00D92A8F">
            <w:pPr>
              <w:bidi w:val="0"/>
              <w:spacing w:after="0" w:line="240" w:lineRule="auto"/>
              <w:jc w:val="both"/>
              <w:rPr>
                <w:rFonts w:ascii="Verdana" w:eastAsia="Times New Roman" w:hAnsi="Verdana" w:cs="Times New Roman"/>
                <w:noProof w:val="0"/>
                <w:sz w:val="24"/>
                <w:szCs w:val="24"/>
                <w:lang w:val="en-US"/>
              </w:rPr>
            </w:pPr>
            <w:r w:rsidRPr="00D92A8F">
              <w:rPr>
                <w:rFonts w:ascii="Verdana" w:eastAsia="Times New Roman" w:hAnsi="Verdana" w:cs="Times New Roman"/>
                <w:noProof w:val="0"/>
                <w:sz w:val="24"/>
                <w:szCs w:val="24"/>
                <w:lang w:val="en-US"/>
              </w:rPr>
              <w:t>Passage de la lumière</w:t>
            </w:r>
          </w:p>
        </w:tc>
        <w:tc>
          <w:tcPr>
            <w:tcW w:w="0" w:type="auto"/>
            <w:vAlign w:val="center"/>
            <w:hideMark/>
          </w:tcPr>
          <w:p w:rsidR="00D92A8F" w:rsidRPr="00D92A8F" w:rsidRDefault="00D92A8F" w:rsidP="00D92A8F">
            <w:pPr>
              <w:bidi w:val="0"/>
              <w:spacing w:after="0" w:line="240" w:lineRule="auto"/>
              <w:jc w:val="both"/>
              <w:rPr>
                <w:rFonts w:ascii="Verdana" w:eastAsia="Times New Roman" w:hAnsi="Verdana" w:cs="Times New Roman"/>
                <w:noProof w:val="0"/>
                <w:sz w:val="24"/>
                <w:szCs w:val="24"/>
                <w:lang w:val="en-US"/>
              </w:rPr>
            </w:pPr>
            <w:r w:rsidRPr="00D92A8F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drawing>
                <wp:inline distT="0" distB="0" distL="0" distR="0">
                  <wp:extent cx="3781425" cy="1447800"/>
                  <wp:effectExtent l="0" t="0" r="9525" b="0"/>
                  <wp:docPr id="18" name="Image 95" descr="polaris_oui.gif (3375 octet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polaris_oui.gif (3375 octet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142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A8F" w:rsidRPr="00D92A8F" w:rsidTr="00FF25FB">
        <w:trPr>
          <w:trHeight w:val="159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92A8F" w:rsidRPr="00D92A8F" w:rsidRDefault="00D92A8F" w:rsidP="00D92A8F">
            <w:pPr>
              <w:bidi w:val="0"/>
              <w:spacing w:after="0" w:line="240" w:lineRule="auto"/>
              <w:jc w:val="both"/>
              <w:rPr>
                <w:rFonts w:ascii="Verdana" w:eastAsia="Times New Roman" w:hAnsi="Verdana" w:cs="Times New Roman"/>
                <w:noProof w:val="0"/>
                <w:sz w:val="24"/>
                <w:szCs w:val="24"/>
                <w:lang w:val="en-US"/>
              </w:rPr>
            </w:pPr>
            <w:r w:rsidRPr="00D92A8F">
              <w:rPr>
                <w:rFonts w:ascii="Verdana" w:eastAsia="Times New Roman" w:hAnsi="Verdana" w:cs="Times New Roman"/>
                <w:noProof w:val="0"/>
                <w:sz w:val="24"/>
                <w:szCs w:val="24"/>
                <w:lang w:val="en-US"/>
              </w:rPr>
              <w:t> </w:t>
            </w:r>
          </w:p>
          <w:p w:rsidR="00D92A8F" w:rsidRPr="00D92A8F" w:rsidRDefault="00D92A8F" w:rsidP="00D92A8F">
            <w:pPr>
              <w:bidi w:val="0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noProof w:val="0"/>
                <w:sz w:val="24"/>
                <w:szCs w:val="24"/>
                <w:lang w:val="en-US"/>
              </w:rPr>
            </w:pPr>
            <w:r w:rsidRPr="00D92A8F">
              <w:rPr>
                <w:rFonts w:ascii="Verdana" w:eastAsia="Times New Roman" w:hAnsi="Verdana" w:cs="Times New Roman"/>
                <w:noProof w:val="0"/>
                <w:sz w:val="24"/>
                <w:szCs w:val="24"/>
                <w:lang w:val="en-US"/>
              </w:rPr>
              <w:t>Blocage de la lumière</w:t>
            </w:r>
          </w:p>
        </w:tc>
        <w:tc>
          <w:tcPr>
            <w:tcW w:w="0" w:type="auto"/>
            <w:vAlign w:val="center"/>
            <w:hideMark/>
          </w:tcPr>
          <w:p w:rsidR="00D92A8F" w:rsidRPr="00D92A8F" w:rsidRDefault="00D92A8F" w:rsidP="00D92A8F">
            <w:pPr>
              <w:bidi w:val="0"/>
              <w:spacing w:after="0" w:line="240" w:lineRule="auto"/>
              <w:jc w:val="both"/>
              <w:rPr>
                <w:rFonts w:ascii="Verdana" w:eastAsia="Times New Roman" w:hAnsi="Verdana" w:cs="Times New Roman"/>
                <w:noProof w:val="0"/>
                <w:sz w:val="24"/>
                <w:szCs w:val="24"/>
                <w:lang w:val="en-US"/>
              </w:rPr>
            </w:pPr>
            <w:r w:rsidRPr="00D92A8F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drawing>
                <wp:inline distT="0" distB="0" distL="0" distR="0">
                  <wp:extent cx="3676650" cy="1438275"/>
                  <wp:effectExtent l="0" t="0" r="0" b="0"/>
                  <wp:docPr id="19" name="Image 96" descr="polaris_non.gif (3328 octet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polaris_non.gif (3328 octet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2A8F" w:rsidRPr="00D92A8F" w:rsidRDefault="00D92A8F" w:rsidP="00D92A8F">
      <w:pPr>
        <w:shd w:val="clear" w:color="auto" w:fill="FFFFCC"/>
        <w:bidi w:val="0"/>
        <w:spacing w:beforeAutospacing="1" w:after="100" w:afterAutospacing="1" w:line="240" w:lineRule="auto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Dans un système à deux lames polaroïdes, le premier polaroïde est appelé </w:t>
      </w:r>
      <w:r w:rsidRPr="00D92A8F">
        <w:rPr>
          <w:rFonts w:ascii="Verdana" w:eastAsia="Times New Roman" w:hAnsi="Verdana" w:cs="Times New Roman"/>
          <w:i/>
          <w:iCs/>
          <w:noProof w:val="0"/>
          <w:color w:val="4B84BF"/>
          <w:sz w:val="24"/>
          <w:szCs w:val="24"/>
          <w:lang w:val="en-US"/>
        </w:rPr>
        <w:t>polariseur</w:t>
      </w: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, le deuxième porte le nom </w:t>
      </w:r>
      <w:r w:rsidRPr="00D92A8F">
        <w:rPr>
          <w:rFonts w:ascii="Verdana" w:eastAsia="Times New Roman" w:hAnsi="Verdana" w:cs="Times New Roman"/>
          <w:i/>
          <w:iCs/>
          <w:noProof w:val="0"/>
          <w:color w:val="4B84BF"/>
          <w:sz w:val="24"/>
          <w:szCs w:val="24"/>
          <w:lang w:val="en-US"/>
        </w:rPr>
        <w:t>d'analyseur</w:t>
      </w: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.</w:t>
      </w:r>
    </w:p>
    <w:p w:rsidR="00D92A8F" w:rsidRPr="00D92A8F" w:rsidRDefault="00CD2A8B" w:rsidP="00D92A8F">
      <w:pPr>
        <w:shd w:val="clear" w:color="auto" w:fill="FFFFCC"/>
        <w:bidi w:val="0"/>
        <w:spacing w:after="0" w:line="240" w:lineRule="auto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CD2A8B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p w:rsidR="00D92A8F" w:rsidRPr="00D92A8F" w:rsidRDefault="00D92A8F" w:rsidP="00D92A8F">
      <w:pPr>
        <w:shd w:val="clear" w:color="auto" w:fill="FFFFCC"/>
        <w:bidi w:val="0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noProof w:val="0"/>
          <w:color w:val="4C4B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b/>
          <w:bCs/>
          <w:noProof w:val="0"/>
          <w:color w:val="4C4BBF"/>
          <w:sz w:val="24"/>
          <w:szCs w:val="24"/>
          <w:lang w:val="en-US"/>
        </w:rPr>
        <w:t>Principe de la méthode : les polarimètres</w:t>
      </w:r>
    </w:p>
    <w:p w:rsidR="00D92A8F" w:rsidRPr="00D92A8F" w:rsidRDefault="00D92A8F" w:rsidP="00FF25FB">
      <w:pPr>
        <w:shd w:val="clear" w:color="auto" w:fill="FFFFCC"/>
        <w:bidi w:val="0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Un molécule chirale possède la propriété de faire dévier le plan de polarisation d'une lumière incidente polarisée. Il suffit don</w:t>
      </w:r>
      <w:r w:rsidR="00FF25FB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c</w:t>
      </w: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 xml:space="preserve"> de placer une solution contenant la substance chirale entre les deux polaroïdes pour vérifier si celle-ci fait dévier le plan de polarisation de la lumière.</w:t>
      </w:r>
    </w:p>
    <w:p w:rsidR="00D92A8F" w:rsidRPr="00D92A8F" w:rsidRDefault="00D92A8F" w:rsidP="00D92A8F">
      <w:pPr>
        <w:shd w:val="clear" w:color="auto" w:fill="FFFFCC"/>
        <w:bidi w:val="0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 xml:space="preserve">Si c'est le cas, l'angle pour lequel on obtient l'extinction correspond à l'angle de rotation propre à la substance chirale. La mesure de cet angle </w:t>
      </w:r>
      <w:r w:rsidR="00FF25FB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 xml:space="preserve">est donc une caractéristique de </w:t>
      </w: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la substance. Ceci est le principe du polarimètre.</w:t>
      </w:r>
    </w:p>
    <w:p w:rsidR="00D92A8F" w:rsidRPr="00D92A8F" w:rsidRDefault="00D92A8F" w:rsidP="009F204E">
      <w:pPr>
        <w:shd w:val="clear" w:color="auto" w:fill="FFFFCC"/>
        <w:bidi w:val="0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color w:val="4B84BF"/>
          <w:sz w:val="24"/>
          <w:szCs w:val="24"/>
          <w:lang w:eastAsia="fr-FR"/>
        </w:rPr>
        <w:drawing>
          <wp:inline distT="0" distB="0" distL="0" distR="0">
            <wp:extent cx="3475625" cy="1503320"/>
            <wp:effectExtent l="19050" t="0" r="0" b="0"/>
            <wp:docPr id="20" name="Image 98" descr="princip_laurent.gif (17063 octet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princip_laurent.gif (17063 octets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677" cy="150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A8F" w:rsidRPr="00D92A8F" w:rsidRDefault="00D92A8F" w:rsidP="00D92A8F">
      <w:pPr>
        <w:shd w:val="clear" w:color="auto" w:fill="FFFFCC"/>
        <w:bidi w:val="0"/>
        <w:spacing w:beforeAutospacing="1" w:after="100" w:afterAutospacing="1" w:line="240" w:lineRule="auto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 xml:space="preserve">Il existe plusieurs sortes de </w:t>
      </w:r>
      <w:r w:rsidR="009F204E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polarimètres. Il y</w:t>
      </w: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a le célèbre polarimètre de Laurent, et d'autres construit sur le même principe (polarimètre de Lippich, de Zeiss). Dans les polarimètres, la source de lumière est une lampe à vapeurs de sodium placée devant le polarimètre.</w:t>
      </w:r>
    </w:p>
    <w:p w:rsidR="00D92A8F" w:rsidRPr="00D92A8F" w:rsidRDefault="00D92A8F" w:rsidP="009F204E">
      <w:pPr>
        <w:shd w:val="clear" w:color="auto" w:fill="FFFFCC"/>
        <w:bidi w:val="0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color w:val="4B84BF"/>
          <w:sz w:val="24"/>
          <w:szCs w:val="24"/>
          <w:lang w:eastAsia="fr-FR"/>
        </w:rPr>
        <w:drawing>
          <wp:inline distT="0" distB="0" distL="0" distR="0">
            <wp:extent cx="2221993" cy="698740"/>
            <wp:effectExtent l="0" t="0" r="6857" b="0"/>
            <wp:docPr id="21" name="Image 99" descr="pola_laurent.gif (9849 octet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pola_laurent.gif (9849 octets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409" cy="701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A8F" w:rsidRPr="00D92A8F" w:rsidRDefault="00D92A8F" w:rsidP="00D92A8F">
      <w:pPr>
        <w:shd w:val="clear" w:color="auto" w:fill="FFFFCC"/>
        <w:bidi w:val="0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noProof w:val="0"/>
          <w:color w:val="4C4B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b/>
          <w:bCs/>
          <w:noProof w:val="0"/>
          <w:color w:val="4C4BBF"/>
          <w:sz w:val="24"/>
          <w:szCs w:val="24"/>
          <w:lang w:val="en-US"/>
        </w:rPr>
        <w:t>Utilisation du polarimètre</w:t>
      </w:r>
    </w:p>
    <w:p w:rsidR="00D92A8F" w:rsidRPr="00D92A8F" w:rsidRDefault="00D92A8F" w:rsidP="009F204E">
      <w:pPr>
        <w:shd w:val="clear" w:color="auto" w:fill="FFFFCC"/>
        <w:bidi w:val="0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Dans le polarimètre, pour des raisons de commodité, on utilise une lame quart d'onde sur la moitié de l'oculaire don</w:t>
      </w:r>
      <w:r w:rsidR="009F204E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c</w:t>
      </w: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 xml:space="preserve"> le but est d'obtenir deux champs de pénombre. La valeur de l'angle de rotation du plan de polarisation peut être mesuré une fois que l'on est en zone d'équipénombre.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4"/>
        <w:gridCol w:w="2719"/>
        <w:gridCol w:w="2024"/>
      </w:tblGrid>
      <w:tr w:rsidR="00D92A8F" w:rsidRPr="00D92A8F" w:rsidTr="0034282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92A8F" w:rsidRPr="00D92A8F" w:rsidRDefault="00D92A8F" w:rsidP="00D92A8F">
            <w:pPr>
              <w:bidi w:val="0"/>
              <w:spacing w:after="0" w:line="240" w:lineRule="auto"/>
              <w:jc w:val="both"/>
              <w:rPr>
                <w:rFonts w:ascii="Verdana" w:eastAsia="Times New Roman" w:hAnsi="Verdana" w:cs="Times New Roman"/>
                <w:noProof w:val="0"/>
                <w:sz w:val="24"/>
                <w:szCs w:val="24"/>
                <w:lang w:val="en-US"/>
              </w:rPr>
            </w:pPr>
            <w:r w:rsidRPr="00D92A8F">
              <w:rPr>
                <w:rFonts w:ascii="Verdana" w:eastAsia="Times New Roman" w:hAnsi="Verdana" w:cs="Times New Roman"/>
                <w:b/>
                <w:bCs/>
                <w:noProof w:val="0"/>
                <w:sz w:val="24"/>
                <w:szCs w:val="24"/>
                <w:lang w:val="en-US"/>
              </w:rPr>
              <w:t>Zones de pénombre</w:t>
            </w:r>
          </w:p>
        </w:tc>
        <w:tc>
          <w:tcPr>
            <w:tcW w:w="0" w:type="auto"/>
            <w:vAlign w:val="center"/>
            <w:hideMark/>
          </w:tcPr>
          <w:p w:rsidR="00D92A8F" w:rsidRPr="00D92A8F" w:rsidRDefault="00D92A8F" w:rsidP="00D92A8F">
            <w:pPr>
              <w:bidi w:val="0"/>
              <w:spacing w:after="0" w:line="240" w:lineRule="auto"/>
              <w:jc w:val="both"/>
              <w:rPr>
                <w:rFonts w:ascii="Verdana" w:eastAsia="Times New Roman" w:hAnsi="Verdana" w:cs="Times New Roman"/>
                <w:noProof w:val="0"/>
                <w:sz w:val="24"/>
                <w:szCs w:val="24"/>
                <w:lang w:val="en-US"/>
              </w:rPr>
            </w:pPr>
            <w:r w:rsidRPr="00D92A8F">
              <w:rPr>
                <w:rFonts w:ascii="Verdana" w:eastAsia="Times New Roman" w:hAnsi="Verdana" w:cs="Times New Roman"/>
                <w:b/>
                <w:bCs/>
                <w:noProof w:val="0"/>
                <w:sz w:val="24"/>
                <w:szCs w:val="24"/>
                <w:lang w:val="en-US"/>
              </w:rPr>
              <w:t>Zones de pénombre</w:t>
            </w:r>
          </w:p>
        </w:tc>
        <w:tc>
          <w:tcPr>
            <w:tcW w:w="0" w:type="auto"/>
            <w:vAlign w:val="center"/>
            <w:hideMark/>
          </w:tcPr>
          <w:p w:rsidR="00D92A8F" w:rsidRPr="00D92A8F" w:rsidRDefault="00D92A8F" w:rsidP="00D92A8F">
            <w:pPr>
              <w:bidi w:val="0"/>
              <w:spacing w:after="0" w:line="240" w:lineRule="auto"/>
              <w:jc w:val="both"/>
              <w:rPr>
                <w:rFonts w:ascii="Verdana" w:eastAsia="Times New Roman" w:hAnsi="Verdana" w:cs="Times New Roman"/>
                <w:noProof w:val="0"/>
                <w:sz w:val="24"/>
                <w:szCs w:val="24"/>
                <w:lang w:val="en-US"/>
              </w:rPr>
            </w:pPr>
            <w:r w:rsidRPr="00D92A8F">
              <w:rPr>
                <w:rFonts w:ascii="Verdana" w:eastAsia="Times New Roman" w:hAnsi="Verdana" w:cs="Times New Roman"/>
                <w:b/>
                <w:bCs/>
                <w:noProof w:val="0"/>
                <w:sz w:val="24"/>
                <w:szCs w:val="24"/>
                <w:lang w:val="en-US"/>
              </w:rPr>
              <w:t>Equipénombre</w:t>
            </w:r>
          </w:p>
        </w:tc>
      </w:tr>
      <w:tr w:rsidR="00D92A8F" w:rsidRPr="00D92A8F" w:rsidTr="0034282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92A8F" w:rsidRPr="00D92A8F" w:rsidRDefault="00D92A8F" w:rsidP="00D92A8F">
            <w:pPr>
              <w:bidi w:val="0"/>
              <w:spacing w:after="0" w:line="240" w:lineRule="auto"/>
              <w:jc w:val="both"/>
              <w:rPr>
                <w:rFonts w:ascii="Verdana" w:eastAsia="Times New Roman" w:hAnsi="Verdana" w:cs="Times New Roman"/>
                <w:noProof w:val="0"/>
                <w:sz w:val="24"/>
                <w:szCs w:val="24"/>
                <w:lang w:val="en-US"/>
              </w:rPr>
            </w:pPr>
            <w:r w:rsidRPr="00D92A8F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drawing>
                <wp:inline distT="0" distB="0" distL="0" distR="0">
                  <wp:extent cx="1190625" cy="1190625"/>
                  <wp:effectExtent l="19050" t="0" r="9525" b="0"/>
                  <wp:docPr id="22" name="Image 101" descr="nonequipenombre.gif (1861 octet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nonequipenombre.gif (1861 octet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92A8F" w:rsidRPr="00D92A8F" w:rsidRDefault="00D92A8F" w:rsidP="00D92A8F">
            <w:pPr>
              <w:bidi w:val="0"/>
              <w:spacing w:after="0" w:line="240" w:lineRule="auto"/>
              <w:jc w:val="both"/>
              <w:rPr>
                <w:rFonts w:ascii="Verdana" w:eastAsia="Times New Roman" w:hAnsi="Verdana" w:cs="Times New Roman"/>
                <w:noProof w:val="0"/>
                <w:sz w:val="24"/>
                <w:szCs w:val="24"/>
                <w:lang w:val="en-US"/>
              </w:rPr>
            </w:pPr>
            <w:r w:rsidRPr="00D92A8F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drawing>
                <wp:inline distT="0" distB="0" distL="0" distR="0">
                  <wp:extent cx="1190625" cy="1190625"/>
                  <wp:effectExtent l="19050" t="0" r="9525" b="0"/>
                  <wp:docPr id="23" name="Image 102" descr="nonequipenombre2.gif (1869 octet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nonequipenombre2.gif (1869 octet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92A8F" w:rsidRPr="00D92A8F" w:rsidRDefault="00D92A8F" w:rsidP="00D92A8F">
            <w:pPr>
              <w:bidi w:val="0"/>
              <w:spacing w:after="0" w:line="240" w:lineRule="auto"/>
              <w:jc w:val="both"/>
              <w:rPr>
                <w:rFonts w:ascii="Verdana" w:eastAsia="Times New Roman" w:hAnsi="Verdana" w:cs="Times New Roman"/>
                <w:noProof w:val="0"/>
                <w:sz w:val="24"/>
                <w:szCs w:val="24"/>
                <w:lang w:val="en-US"/>
              </w:rPr>
            </w:pPr>
            <w:r w:rsidRPr="00D92A8F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drawing>
                <wp:inline distT="0" distB="0" distL="0" distR="0">
                  <wp:extent cx="1190625" cy="1190625"/>
                  <wp:effectExtent l="19050" t="0" r="9525" b="0"/>
                  <wp:docPr id="24" name="Image 103" descr="equipenombre.gif (1802 octet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equipenombre.gif (1802 octet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2A8F" w:rsidRPr="00D92A8F" w:rsidRDefault="00D92A8F" w:rsidP="00D92A8F">
      <w:pPr>
        <w:shd w:val="clear" w:color="auto" w:fill="FFFFCC"/>
        <w:bidi w:val="0"/>
        <w:spacing w:beforeAutospacing="1" w:after="100" w:afterAutospacing="1" w:line="240" w:lineRule="auto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b/>
          <w:bCs/>
          <w:noProof w:val="0"/>
          <w:color w:val="4B84BF"/>
          <w:sz w:val="24"/>
          <w:szCs w:val="24"/>
          <w:lang w:val="en-US"/>
        </w:rPr>
        <w:t>Manipulation</w:t>
      </w:r>
    </w:p>
    <w:p w:rsidR="00D92A8F" w:rsidRPr="00D92A8F" w:rsidRDefault="00D92A8F" w:rsidP="00D92A8F">
      <w:pPr>
        <w:numPr>
          <w:ilvl w:val="0"/>
          <w:numId w:val="8"/>
        </w:numPr>
        <w:shd w:val="clear" w:color="auto" w:fill="FFFFCC"/>
        <w:bidi w:val="0"/>
        <w:spacing w:beforeAutospacing="1" w:after="100" w:afterAutospacing="1" w:line="240" w:lineRule="auto"/>
        <w:ind w:left="2160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Allumer l'appareil (attendre 5 min que la lampe soit chaude).</w:t>
      </w:r>
    </w:p>
    <w:p w:rsidR="00D92A8F" w:rsidRPr="00D92A8F" w:rsidRDefault="00D92A8F" w:rsidP="00D92A8F">
      <w:pPr>
        <w:numPr>
          <w:ilvl w:val="0"/>
          <w:numId w:val="8"/>
        </w:numPr>
        <w:shd w:val="clear" w:color="auto" w:fill="FFFFCC"/>
        <w:bidi w:val="0"/>
        <w:spacing w:before="100" w:beforeAutospacing="1" w:after="100" w:afterAutospacing="1" w:line="240" w:lineRule="auto"/>
        <w:ind w:left="2160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Placer un "blanc" (tube rempli de solvant) et étalonner l'appareil (zéro pour l'équipénombre).</w:t>
      </w:r>
    </w:p>
    <w:p w:rsidR="00D92A8F" w:rsidRPr="00D92A8F" w:rsidRDefault="00D92A8F" w:rsidP="00D92A8F">
      <w:pPr>
        <w:numPr>
          <w:ilvl w:val="0"/>
          <w:numId w:val="8"/>
        </w:numPr>
        <w:shd w:val="clear" w:color="auto" w:fill="FFFFCC"/>
        <w:bidi w:val="0"/>
        <w:spacing w:before="100" w:beforeAutospacing="1" w:after="100" w:afterAutospacing="1" w:line="240" w:lineRule="auto"/>
        <w:ind w:left="2160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Placer ensuite le tube contenant la substance chirale et mesurer l'angle correspondant à la zone de pénombre.</w:t>
      </w:r>
    </w:p>
    <w:p w:rsidR="00D92A8F" w:rsidRPr="00D92A8F" w:rsidRDefault="00D92A8F" w:rsidP="00D92A8F">
      <w:pPr>
        <w:shd w:val="clear" w:color="auto" w:fill="FFFFCC"/>
        <w:bidi w:val="0"/>
        <w:spacing w:beforeAutospacing="1" w:after="100" w:afterAutospacing="1" w:line="240" w:lineRule="auto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b/>
          <w:bCs/>
          <w:noProof w:val="0"/>
          <w:color w:val="4B84BF"/>
          <w:sz w:val="24"/>
          <w:szCs w:val="24"/>
          <w:lang w:val="en-US"/>
        </w:rPr>
        <w:t>Remarque 1.</w:t>
      </w: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 Le liquide à analyser doit être parfaitement limpide.</w:t>
      </w: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br/>
      </w:r>
      <w:r w:rsidRPr="00D92A8F">
        <w:rPr>
          <w:rFonts w:ascii="Verdana" w:eastAsia="Times New Roman" w:hAnsi="Verdana" w:cs="Times New Roman"/>
          <w:b/>
          <w:bCs/>
          <w:noProof w:val="0"/>
          <w:color w:val="4B84BF"/>
          <w:sz w:val="24"/>
          <w:szCs w:val="24"/>
          <w:lang w:val="en-US"/>
        </w:rPr>
        <w:t>Remarque 2</w:t>
      </w: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. Aucune bulle d'air ne doit se trouver sur le passage du faisceau de lumière.</w:t>
      </w:r>
    </w:p>
    <w:p w:rsidR="00D92A8F" w:rsidRPr="00D92A8F" w:rsidRDefault="00CD2A8B" w:rsidP="00D92A8F">
      <w:pPr>
        <w:shd w:val="clear" w:color="auto" w:fill="FFFFCC"/>
        <w:bidi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noProof w:val="0"/>
          <w:color w:val="4B84BF"/>
          <w:sz w:val="24"/>
          <w:szCs w:val="24"/>
          <w:lang w:val="en-US"/>
        </w:rPr>
      </w:pPr>
      <w:r w:rsidRPr="00CD2A8B">
        <w:rPr>
          <w:rFonts w:ascii="Verdana" w:eastAsia="Times New Roman" w:hAnsi="Verdana" w:cs="Times New Roman"/>
          <w:b/>
          <w:bCs/>
          <w:noProof w:val="0"/>
          <w:color w:val="4B84BF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D92A8F" w:rsidRPr="00D92A8F" w:rsidRDefault="00D92A8F" w:rsidP="00D92A8F">
      <w:pPr>
        <w:shd w:val="clear" w:color="auto" w:fill="FFFFCC"/>
        <w:bidi w:val="0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noProof w:val="0"/>
          <w:color w:val="4C4B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b/>
          <w:bCs/>
          <w:noProof w:val="0"/>
          <w:color w:val="4C4BBF"/>
          <w:sz w:val="24"/>
          <w:szCs w:val="24"/>
          <w:lang w:val="en-US"/>
        </w:rPr>
        <w:t>Loi de Biot</w:t>
      </w:r>
    </w:p>
    <w:p w:rsidR="00D92A8F" w:rsidRPr="00D92A8F" w:rsidRDefault="00D92A8F" w:rsidP="00D92A8F">
      <w:pPr>
        <w:shd w:val="clear" w:color="auto" w:fill="FFFFCC"/>
        <w:bidi w:val="0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La loi de Biot dit que l'angle de rotation est proportionnel à la longueur de cuve et à la concentration. La constante de proportionnalité est appelée pouvoir rotatoire de la substance. Elle dépend de la température et de la longueur d'onde à laquelle l'expérience a été réalisée. On peut donc écrire la loi de Biot sous la forme :</w:t>
      </w:r>
    </w:p>
    <w:p w:rsidR="00D92A8F" w:rsidRPr="00D92A8F" w:rsidRDefault="00D92A8F" w:rsidP="00D92A8F">
      <w:pPr>
        <w:shd w:val="clear" w:color="auto" w:fill="FFFFCC"/>
        <w:bidi w:val="0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D92A8F">
        <w:rPr>
          <w:rFonts w:ascii="Symbol" w:eastAsia="Times New Roman" w:hAnsi="Symbol" w:cs="Times New Roman"/>
          <w:noProof w:val="0"/>
          <w:color w:val="4B84BF"/>
          <w:sz w:val="24"/>
          <w:szCs w:val="24"/>
          <w:lang w:val="en-US"/>
        </w:rPr>
        <w:t></w:t>
      </w: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= [</w:t>
      </w:r>
      <w:r w:rsidRPr="00D92A8F">
        <w:rPr>
          <w:rFonts w:ascii="Symbol" w:eastAsia="Times New Roman" w:hAnsi="Symbol" w:cs="Times New Roman"/>
          <w:noProof w:val="0"/>
          <w:color w:val="4B84BF"/>
          <w:sz w:val="24"/>
          <w:szCs w:val="24"/>
          <w:lang w:val="en-US"/>
        </w:rPr>
        <w:t></w:t>
      </w: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]</w:t>
      </w: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vertAlign w:val="subscript"/>
          <w:lang w:val="en-US"/>
        </w:rPr>
        <w:t>T</w:t>
      </w: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 . l . c</w:t>
      </w:r>
    </w:p>
    <w:p w:rsidR="00D92A8F" w:rsidRPr="00D92A8F" w:rsidRDefault="00D92A8F" w:rsidP="00D92A8F">
      <w:pPr>
        <w:shd w:val="clear" w:color="auto" w:fill="FFFFCC"/>
        <w:bidi w:val="0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Où :</w:t>
      </w:r>
    </w:p>
    <w:p w:rsidR="00D92A8F" w:rsidRPr="00D92A8F" w:rsidRDefault="00D92A8F" w:rsidP="00D92A8F">
      <w:pPr>
        <w:numPr>
          <w:ilvl w:val="0"/>
          <w:numId w:val="9"/>
        </w:numPr>
        <w:shd w:val="clear" w:color="auto" w:fill="FFFFCC"/>
        <w:bidi w:val="0"/>
        <w:spacing w:beforeAutospacing="1" w:after="100" w:afterAutospacing="1" w:line="240" w:lineRule="auto"/>
        <w:ind w:left="2160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D92A8F">
        <w:rPr>
          <w:rFonts w:ascii="Symbol" w:eastAsia="Times New Roman" w:hAnsi="Symbol" w:cs="Times New Roman"/>
          <w:noProof w:val="0"/>
          <w:color w:val="4B84BF"/>
          <w:sz w:val="24"/>
          <w:szCs w:val="24"/>
          <w:lang w:val="en-US"/>
        </w:rPr>
        <w:t></w:t>
      </w: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 : angle de rotation observé en degrés.</w:t>
      </w:r>
    </w:p>
    <w:p w:rsidR="00D92A8F" w:rsidRPr="00D92A8F" w:rsidRDefault="00D92A8F" w:rsidP="00D92A8F">
      <w:pPr>
        <w:numPr>
          <w:ilvl w:val="0"/>
          <w:numId w:val="9"/>
        </w:numPr>
        <w:shd w:val="clear" w:color="auto" w:fill="FFFFCC"/>
        <w:bidi w:val="0"/>
        <w:spacing w:before="100" w:beforeAutospacing="1" w:after="100" w:afterAutospacing="1" w:line="240" w:lineRule="auto"/>
        <w:ind w:left="2160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l : longueur de la cuve en dm.</w:t>
      </w:r>
    </w:p>
    <w:p w:rsidR="00D92A8F" w:rsidRPr="00D92A8F" w:rsidRDefault="00D92A8F" w:rsidP="00D92A8F">
      <w:pPr>
        <w:numPr>
          <w:ilvl w:val="0"/>
          <w:numId w:val="9"/>
        </w:numPr>
        <w:shd w:val="clear" w:color="auto" w:fill="FFFFCC"/>
        <w:bidi w:val="0"/>
        <w:spacing w:before="100" w:beforeAutospacing="1" w:after="100" w:afterAutospacing="1" w:line="240" w:lineRule="auto"/>
        <w:ind w:left="2160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c : concentration de la solution en g / mL.</w:t>
      </w:r>
    </w:p>
    <w:p w:rsidR="00D92A8F" w:rsidRPr="00D92A8F" w:rsidRDefault="00D92A8F" w:rsidP="00D92A8F">
      <w:pPr>
        <w:numPr>
          <w:ilvl w:val="0"/>
          <w:numId w:val="9"/>
        </w:numPr>
        <w:shd w:val="clear" w:color="auto" w:fill="FFFFCC"/>
        <w:bidi w:val="0"/>
        <w:spacing w:before="100" w:beforeAutospacing="1" w:after="100" w:afterAutospacing="1" w:line="240" w:lineRule="auto"/>
        <w:ind w:left="2160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[</w:t>
      </w:r>
      <w:r w:rsidRPr="00D92A8F">
        <w:rPr>
          <w:rFonts w:ascii="Symbol" w:eastAsia="Times New Roman" w:hAnsi="Symbol" w:cs="Times New Roman"/>
          <w:noProof w:val="0"/>
          <w:color w:val="4B84BF"/>
          <w:sz w:val="24"/>
          <w:szCs w:val="24"/>
          <w:lang w:val="en-US"/>
        </w:rPr>
        <w:t></w:t>
      </w: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]</w:t>
      </w: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vertAlign w:val="subscript"/>
          <w:lang w:val="en-US"/>
        </w:rPr>
        <w:t>T</w:t>
      </w: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 : pouvoir rotatoire spécifique défini à une température T et mesuré pour une longueur d'onde donnée, exprimée en g</w:t>
      </w: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vertAlign w:val="superscript"/>
          <w:lang w:val="en-US"/>
        </w:rPr>
        <w:t>-1</w:t>
      </w: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.mL.dm</w:t>
      </w: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vertAlign w:val="superscript"/>
          <w:lang w:val="en-US"/>
        </w:rPr>
        <w:t>-1</w:t>
      </w: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. .</w:t>
      </w:r>
    </w:p>
    <w:p w:rsidR="00D92A8F" w:rsidRPr="00D92A8F" w:rsidRDefault="00D92A8F" w:rsidP="00D92A8F">
      <w:pPr>
        <w:shd w:val="clear" w:color="auto" w:fill="FFFFCC"/>
        <w:bidi w:val="0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L'angle de rotation étant fonction de la concentration (loi de Biot), on pourra donc utiliser la polarimétrie pour des suivis de cinétiques de réactions.</w:t>
      </w:r>
    </w:p>
    <w:p w:rsidR="00D92A8F" w:rsidRPr="00D92A8F" w:rsidRDefault="00D92A8F" w:rsidP="00D92A8F">
      <w:pPr>
        <w:shd w:val="clear" w:color="auto" w:fill="FFFFCC"/>
        <w:bidi w:val="0"/>
        <w:spacing w:beforeAutospacing="1" w:after="100" w:afterAutospacing="1" w:line="240" w:lineRule="auto"/>
        <w:jc w:val="both"/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</w:pPr>
      <w:r w:rsidRPr="00D92A8F">
        <w:rPr>
          <w:rFonts w:ascii="Verdana" w:eastAsia="Times New Roman" w:hAnsi="Verdana" w:cs="Times New Roman"/>
          <w:b/>
          <w:bCs/>
          <w:noProof w:val="0"/>
          <w:color w:val="4B84BF"/>
          <w:sz w:val="24"/>
          <w:szCs w:val="24"/>
          <w:lang w:val="en-US"/>
        </w:rPr>
        <w:t>Remarque</w:t>
      </w: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. Le pouvoir rotatoire spécifique [</w:t>
      </w:r>
      <w:r w:rsidRPr="00D92A8F">
        <w:rPr>
          <w:rFonts w:ascii="Symbol" w:eastAsia="Times New Roman" w:hAnsi="Symbol" w:cs="Times New Roman"/>
          <w:noProof w:val="0"/>
          <w:color w:val="4B84BF"/>
          <w:sz w:val="24"/>
          <w:szCs w:val="24"/>
          <w:lang w:val="en-US"/>
        </w:rPr>
        <w:t></w:t>
      </w: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]</w:t>
      </w: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vertAlign w:val="subscript"/>
          <w:lang w:val="en-US"/>
        </w:rPr>
        <w:t>T</w:t>
      </w:r>
      <w:r w:rsidRPr="00D92A8F">
        <w:rPr>
          <w:rFonts w:ascii="Verdana" w:eastAsia="Times New Roman" w:hAnsi="Verdana" w:cs="Times New Roman"/>
          <w:noProof w:val="0"/>
          <w:color w:val="4B84BF"/>
          <w:sz w:val="24"/>
          <w:szCs w:val="24"/>
          <w:lang w:val="en-US"/>
        </w:rPr>
        <w:t> est une grandeur caractéristique de la molécule chirale. Si une molécule chirale possède un carbone stéréogène (c'est-à-dire possède deux énantiomères), ses deux énantiomères auront des pouvoirs rotatoires spécifiques de même valeur mais de signes opposés. Ceci n'est plus vrai dans le cas de molécules à plusieurs centres stéréogènes ou dans le cas d'épimères.</w:t>
      </w:r>
    </w:p>
    <w:p w:rsidR="00D92A8F" w:rsidRPr="00D92A8F" w:rsidRDefault="00D92A8F" w:rsidP="00D92A8F">
      <w:pPr>
        <w:bidi w:val="0"/>
        <w:jc w:val="both"/>
        <w:rPr>
          <w:sz w:val="24"/>
          <w:szCs w:val="24"/>
        </w:rPr>
      </w:pPr>
    </w:p>
    <w:sectPr w:rsidR="00D92A8F" w:rsidRPr="00D92A8F" w:rsidSect="008E01C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D571A"/>
    <w:multiLevelType w:val="multilevel"/>
    <w:tmpl w:val="A120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A21972"/>
    <w:multiLevelType w:val="multilevel"/>
    <w:tmpl w:val="9A9A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0C5A2D"/>
    <w:multiLevelType w:val="multilevel"/>
    <w:tmpl w:val="6A06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9C1AAD"/>
    <w:multiLevelType w:val="multilevel"/>
    <w:tmpl w:val="3548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8B5601"/>
    <w:multiLevelType w:val="hybridMultilevel"/>
    <w:tmpl w:val="B0321D7E"/>
    <w:lvl w:ilvl="0" w:tplc="84B44C2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795254"/>
    <w:multiLevelType w:val="multilevel"/>
    <w:tmpl w:val="3C0E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E815AB"/>
    <w:multiLevelType w:val="multilevel"/>
    <w:tmpl w:val="FD2E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B62E44"/>
    <w:multiLevelType w:val="hybridMultilevel"/>
    <w:tmpl w:val="69EE6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81E34"/>
    <w:multiLevelType w:val="hybridMultilevel"/>
    <w:tmpl w:val="488A33DC"/>
    <w:lvl w:ilvl="0" w:tplc="84B44C2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savePreviewPicture/>
  <w:compat/>
  <w:rsids>
    <w:rsidRoot w:val="00321AEC"/>
    <w:rsid w:val="0001294B"/>
    <w:rsid w:val="0001593A"/>
    <w:rsid w:val="00021724"/>
    <w:rsid w:val="00035DDA"/>
    <w:rsid w:val="0004310A"/>
    <w:rsid w:val="00080BC8"/>
    <w:rsid w:val="00082353"/>
    <w:rsid w:val="000B7DDE"/>
    <w:rsid w:val="000D5532"/>
    <w:rsid w:val="001723E3"/>
    <w:rsid w:val="00221402"/>
    <w:rsid w:val="00224F00"/>
    <w:rsid w:val="00225992"/>
    <w:rsid w:val="002B23D5"/>
    <w:rsid w:val="002D68E6"/>
    <w:rsid w:val="0030259B"/>
    <w:rsid w:val="00321AEC"/>
    <w:rsid w:val="0033022A"/>
    <w:rsid w:val="00380F5A"/>
    <w:rsid w:val="003A1C5C"/>
    <w:rsid w:val="003F0A69"/>
    <w:rsid w:val="00432510"/>
    <w:rsid w:val="004F1CB8"/>
    <w:rsid w:val="005034C8"/>
    <w:rsid w:val="00550741"/>
    <w:rsid w:val="00566E90"/>
    <w:rsid w:val="005722E1"/>
    <w:rsid w:val="0057687A"/>
    <w:rsid w:val="00596DC1"/>
    <w:rsid w:val="005F69EE"/>
    <w:rsid w:val="00602813"/>
    <w:rsid w:val="006108DD"/>
    <w:rsid w:val="00655209"/>
    <w:rsid w:val="0066296D"/>
    <w:rsid w:val="00686B92"/>
    <w:rsid w:val="00691954"/>
    <w:rsid w:val="006A58DB"/>
    <w:rsid w:val="006B6C97"/>
    <w:rsid w:val="006B7C23"/>
    <w:rsid w:val="006D466D"/>
    <w:rsid w:val="00704F98"/>
    <w:rsid w:val="00713CED"/>
    <w:rsid w:val="00737509"/>
    <w:rsid w:val="00737626"/>
    <w:rsid w:val="007E3A1B"/>
    <w:rsid w:val="007E64AB"/>
    <w:rsid w:val="007E70EF"/>
    <w:rsid w:val="0080481F"/>
    <w:rsid w:val="00820958"/>
    <w:rsid w:val="008378A4"/>
    <w:rsid w:val="00877C97"/>
    <w:rsid w:val="008B3E6E"/>
    <w:rsid w:val="008E01C4"/>
    <w:rsid w:val="009177E4"/>
    <w:rsid w:val="00926C18"/>
    <w:rsid w:val="00935738"/>
    <w:rsid w:val="00945708"/>
    <w:rsid w:val="00992809"/>
    <w:rsid w:val="009A2159"/>
    <w:rsid w:val="009C42BB"/>
    <w:rsid w:val="009F03A1"/>
    <w:rsid w:val="009F204E"/>
    <w:rsid w:val="00A90025"/>
    <w:rsid w:val="00B46A08"/>
    <w:rsid w:val="00B638F9"/>
    <w:rsid w:val="00B73260"/>
    <w:rsid w:val="00B800C7"/>
    <w:rsid w:val="00B930ED"/>
    <w:rsid w:val="00BA419D"/>
    <w:rsid w:val="00BA6593"/>
    <w:rsid w:val="00BB4A55"/>
    <w:rsid w:val="00BC6EB6"/>
    <w:rsid w:val="00BD1938"/>
    <w:rsid w:val="00BE6C9B"/>
    <w:rsid w:val="00BF24F5"/>
    <w:rsid w:val="00BF7A91"/>
    <w:rsid w:val="00C078FB"/>
    <w:rsid w:val="00C4515B"/>
    <w:rsid w:val="00C52AC6"/>
    <w:rsid w:val="00C82907"/>
    <w:rsid w:val="00C87B4D"/>
    <w:rsid w:val="00C9013F"/>
    <w:rsid w:val="00C974CA"/>
    <w:rsid w:val="00CC5128"/>
    <w:rsid w:val="00CC67FE"/>
    <w:rsid w:val="00CD2A8B"/>
    <w:rsid w:val="00D15974"/>
    <w:rsid w:val="00D261EB"/>
    <w:rsid w:val="00D53D9B"/>
    <w:rsid w:val="00D62C4A"/>
    <w:rsid w:val="00D8586C"/>
    <w:rsid w:val="00D92A8F"/>
    <w:rsid w:val="00DD3E16"/>
    <w:rsid w:val="00DE7FB3"/>
    <w:rsid w:val="00E67F7A"/>
    <w:rsid w:val="00E83B09"/>
    <w:rsid w:val="00E9044C"/>
    <w:rsid w:val="00EB1EF2"/>
    <w:rsid w:val="00EB20DA"/>
    <w:rsid w:val="00EB3BD4"/>
    <w:rsid w:val="00F01D21"/>
    <w:rsid w:val="00F1562A"/>
    <w:rsid w:val="00F26726"/>
    <w:rsid w:val="00F31BDA"/>
    <w:rsid w:val="00F372DA"/>
    <w:rsid w:val="00F413C8"/>
    <w:rsid w:val="00F42F7D"/>
    <w:rsid w:val="00F57B73"/>
    <w:rsid w:val="00F75CD1"/>
    <w:rsid w:val="00FF2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red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E90"/>
    <w:pPr>
      <w:bidi/>
    </w:pPr>
    <w:rPr>
      <w:noProof/>
      <w:lang w:val="fr-FR"/>
    </w:rPr>
  </w:style>
  <w:style w:type="paragraph" w:styleId="Titre1">
    <w:name w:val="heading 1"/>
    <w:basedOn w:val="Normal"/>
    <w:link w:val="Titre1Car"/>
    <w:uiPriority w:val="9"/>
    <w:qFormat/>
    <w:rsid w:val="00321AE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en-US"/>
    </w:rPr>
  </w:style>
  <w:style w:type="paragraph" w:styleId="Titre2">
    <w:name w:val="heading 2"/>
    <w:basedOn w:val="Normal"/>
    <w:link w:val="Titre2Car"/>
    <w:uiPriority w:val="9"/>
    <w:qFormat/>
    <w:rsid w:val="00321AEC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1A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321AE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Lienhypertexte">
    <w:name w:val="Hyperlink"/>
    <w:basedOn w:val="Policepardfaut"/>
    <w:uiPriority w:val="99"/>
    <w:semiHidden/>
    <w:unhideWhenUsed/>
    <w:rsid w:val="00321AE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1AE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apple-converted-space">
    <w:name w:val="apple-converted-space"/>
    <w:basedOn w:val="Policepardfaut"/>
    <w:rsid w:val="00321AEC"/>
  </w:style>
  <w:style w:type="character" w:customStyle="1" w:styleId="mw-headline">
    <w:name w:val="mw-headline"/>
    <w:basedOn w:val="Policepardfaut"/>
    <w:rsid w:val="00321AEC"/>
  </w:style>
  <w:style w:type="character" w:customStyle="1" w:styleId="mw-editsection">
    <w:name w:val="mw-editsection"/>
    <w:basedOn w:val="Policepardfaut"/>
    <w:rsid w:val="00321AEC"/>
  </w:style>
  <w:style w:type="character" w:customStyle="1" w:styleId="mw-editsection-bracket">
    <w:name w:val="mw-editsection-bracket"/>
    <w:basedOn w:val="Policepardfaut"/>
    <w:rsid w:val="00321AEC"/>
  </w:style>
  <w:style w:type="character" w:customStyle="1" w:styleId="mw-editsection-divider">
    <w:name w:val="mw-editsection-divider"/>
    <w:basedOn w:val="Policepardfaut"/>
    <w:rsid w:val="00321AEC"/>
  </w:style>
  <w:style w:type="paragraph" w:styleId="Textedebulles">
    <w:name w:val="Balloon Text"/>
    <w:basedOn w:val="Normal"/>
    <w:link w:val="TextedebullesCar"/>
    <w:uiPriority w:val="99"/>
    <w:semiHidden/>
    <w:unhideWhenUsed/>
    <w:rsid w:val="00321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1AEC"/>
    <w:rPr>
      <w:rFonts w:ascii="Tahoma" w:hAnsi="Tahoma" w:cs="Tahoma"/>
      <w:noProof/>
      <w:sz w:val="16"/>
      <w:szCs w:val="16"/>
      <w:lang w:val="fr-FR"/>
    </w:rPr>
  </w:style>
  <w:style w:type="character" w:customStyle="1" w:styleId="termtext">
    <w:name w:val="termtext"/>
    <w:basedOn w:val="Policepardfaut"/>
    <w:rsid w:val="00B73260"/>
  </w:style>
  <w:style w:type="paragraph" w:styleId="Paragraphedeliste">
    <w:name w:val="List Paragraph"/>
    <w:basedOn w:val="Normal"/>
    <w:uiPriority w:val="34"/>
    <w:qFormat/>
    <w:rsid w:val="00F42F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567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4" w:space="0" w:color="F4F4F4"/>
                              </w:divBdr>
                            </w:div>
                          </w:divsChild>
                        </w:div>
                        <w:div w:id="114566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9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hyperlink" Target="http://www.sciences-en-ligne.com/DIST/Data/Ressources/lic2/chimie/hist_chi/biographies/a_b/biog_biot.ht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746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chafika</dc:creator>
  <cp:lastModifiedBy>HP</cp:lastModifiedBy>
  <cp:revision>2</cp:revision>
  <dcterms:created xsi:type="dcterms:W3CDTF">2020-05-19T00:00:00Z</dcterms:created>
  <dcterms:modified xsi:type="dcterms:W3CDTF">2020-05-19T00:00:00Z</dcterms:modified>
</cp:coreProperties>
</file>