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10" w:rsidRDefault="00247426" w:rsidP="00247426">
      <w:pPr>
        <w:jc w:val="center"/>
        <w:rPr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الجمهرية</w:t>
      </w:r>
      <w:proofErr w:type="spellEnd"/>
      <w:r>
        <w:rPr>
          <w:rFonts w:hint="cs"/>
          <w:sz w:val="36"/>
          <w:szCs w:val="36"/>
          <w:rtl/>
        </w:rPr>
        <w:t xml:space="preserve"> الجزائرية الديمقراطية الشعبية</w:t>
      </w:r>
    </w:p>
    <w:p w:rsidR="00247426" w:rsidRDefault="00247426" w:rsidP="00247426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جامعة </w:t>
      </w:r>
      <w:proofErr w:type="spellStart"/>
      <w:r>
        <w:rPr>
          <w:rFonts w:hint="cs"/>
          <w:sz w:val="36"/>
          <w:szCs w:val="36"/>
          <w:rtl/>
        </w:rPr>
        <w:t>باجي</w:t>
      </w:r>
      <w:proofErr w:type="spellEnd"/>
      <w:r>
        <w:rPr>
          <w:rFonts w:hint="cs"/>
          <w:sz w:val="36"/>
          <w:szCs w:val="36"/>
          <w:rtl/>
        </w:rPr>
        <w:t xml:space="preserve"> مختار </w:t>
      </w:r>
      <w:proofErr w:type="spellStart"/>
      <w:r>
        <w:rPr>
          <w:rFonts w:hint="cs"/>
          <w:sz w:val="36"/>
          <w:szCs w:val="36"/>
          <w:rtl/>
        </w:rPr>
        <w:t>عنابة</w:t>
      </w:r>
      <w:proofErr w:type="spellEnd"/>
    </w:p>
    <w:p w:rsidR="00247426" w:rsidRDefault="00247426" w:rsidP="00247426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قسم التربية البدنية و الرياضية</w:t>
      </w:r>
    </w:p>
    <w:p w:rsidR="00247426" w:rsidRDefault="00247426" w:rsidP="00247426">
      <w:pPr>
        <w:jc w:val="center"/>
        <w:rPr>
          <w:sz w:val="36"/>
          <w:szCs w:val="36"/>
          <w:rtl/>
        </w:rPr>
      </w:pPr>
    </w:p>
    <w:p w:rsidR="00247426" w:rsidRDefault="00247426" w:rsidP="00247426">
      <w:pPr>
        <w:jc w:val="center"/>
        <w:rPr>
          <w:sz w:val="36"/>
          <w:szCs w:val="36"/>
          <w:rtl/>
        </w:rPr>
      </w:pPr>
    </w:p>
    <w:p w:rsidR="00247426" w:rsidRDefault="00247426" w:rsidP="00247426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مقياس :العاب القوى                                              السنة </w:t>
      </w:r>
      <w:proofErr w:type="spellStart"/>
      <w:r>
        <w:rPr>
          <w:rFonts w:hint="cs"/>
          <w:sz w:val="36"/>
          <w:szCs w:val="36"/>
          <w:rtl/>
        </w:rPr>
        <w:t>الاولى</w:t>
      </w:r>
      <w:proofErr w:type="spellEnd"/>
      <w:r>
        <w:rPr>
          <w:rFonts w:hint="cs"/>
          <w:sz w:val="36"/>
          <w:szCs w:val="36"/>
          <w:rtl/>
        </w:rPr>
        <w:t xml:space="preserve"> ليسانس </w:t>
      </w:r>
    </w:p>
    <w:p w:rsidR="00247426" w:rsidRDefault="00247426" w:rsidP="00247426">
      <w:pPr>
        <w:jc w:val="right"/>
        <w:rPr>
          <w:sz w:val="36"/>
          <w:szCs w:val="36"/>
          <w:rtl/>
        </w:rPr>
      </w:pPr>
    </w:p>
    <w:p w:rsidR="00247426" w:rsidRDefault="00247426" w:rsidP="00247426">
      <w:pPr>
        <w:jc w:val="right"/>
        <w:rPr>
          <w:sz w:val="36"/>
          <w:szCs w:val="36"/>
          <w:rtl/>
        </w:rPr>
      </w:pPr>
    </w:p>
    <w:p w:rsidR="00247426" w:rsidRDefault="00247426" w:rsidP="0024742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المحاضرة </w:t>
      </w:r>
      <w:proofErr w:type="spellStart"/>
      <w:r>
        <w:rPr>
          <w:rFonts w:hint="cs"/>
          <w:sz w:val="36"/>
          <w:szCs w:val="36"/>
          <w:rtl/>
        </w:rPr>
        <w:t>الاولى</w:t>
      </w:r>
      <w:proofErr w:type="spellEnd"/>
      <w:r>
        <w:rPr>
          <w:rFonts w:hint="cs"/>
          <w:sz w:val="36"/>
          <w:szCs w:val="36"/>
          <w:rtl/>
        </w:rPr>
        <w:t xml:space="preserve"> :</w:t>
      </w:r>
    </w:p>
    <w:p w:rsidR="00247426" w:rsidRDefault="00247426" w:rsidP="00247426">
      <w:pPr>
        <w:jc w:val="right"/>
        <w:rPr>
          <w:sz w:val="36"/>
          <w:szCs w:val="36"/>
          <w:rtl/>
        </w:rPr>
      </w:pPr>
    </w:p>
    <w:p w:rsidR="00247426" w:rsidRPr="002405B2" w:rsidRDefault="002405B2" w:rsidP="002405B2">
      <w:pPr>
        <w:jc w:val="center"/>
        <w:rPr>
          <w:sz w:val="48"/>
          <w:szCs w:val="48"/>
          <w:rtl/>
        </w:rPr>
      </w:pPr>
      <w:r w:rsidRPr="002405B2">
        <w:rPr>
          <w:rFonts w:hint="cs"/>
          <w:sz w:val="48"/>
          <w:szCs w:val="48"/>
          <w:rtl/>
        </w:rPr>
        <w:t>التمارين الخاصة لرمي القرص</w:t>
      </w:r>
    </w:p>
    <w:p w:rsidR="00247426" w:rsidRDefault="00247426" w:rsidP="00247426">
      <w:pPr>
        <w:jc w:val="right"/>
        <w:rPr>
          <w:sz w:val="36"/>
          <w:szCs w:val="36"/>
          <w:rtl/>
        </w:rPr>
      </w:pPr>
    </w:p>
    <w:p w:rsidR="00247426" w:rsidRDefault="00247426" w:rsidP="00247426">
      <w:pPr>
        <w:jc w:val="right"/>
        <w:rPr>
          <w:sz w:val="36"/>
          <w:szCs w:val="36"/>
          <w:rtl/>
        </w:rPr>
      </w:pPr>
    </w:p>
    <w:p w:rsidR="00247426" w:rsidRDefault="00247426" w:rsidP="005C2F10">
      <w:pPr>
        <w:rPr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الاستاد</w:t>
      </w:r>
      <w:proofErr w:type="spellEnd"/>
      <w:r>
        <w:rPr>
          <w:rFonts w:hint="cs"/>
          <w:sz w:val="36"/>
          <w:szCs w:val="36"/>
          <w:rtl/>
        </w:rPr>
        <w:t xml:space="preserve">: مرابط محمد </w:t>
      </w:r>
    </w:p>
    <w:p w:rsidR="00247426" w:rsidRDefault="00247426" w:rsidP="005C2F10">
      <w:pPr>
        <w:rPr>
          <w:sz w:val="36"/>
          <w:szCs w:val="36"/>
          <w:rtl/>
        </w:rPr>
      </w:pPr>
    </w:p>
    <w:p w:rsidR="00247426" w:rsidRDefault="00247426" w:rsidP="005C2F10">
      <w:pPr>
        <w:rPr>
          <w:sz w:val="36"/>
          <w:szCs w:val="36"/>
          <w:rtl/>
        </w:rPr>
      </w:pPr>
    </w:p>
    <w:p w:rsidR="00247426" w:rsidRDefault="00247426" w:rsidP="005C2F10">
      <w:pPr>
        <w:rPr>
          <w:sz w:val="36"/>
          <w:szCs w:val="36"/>
          <w:rtl/>
        </w:rPr>
      </w:pPr>
    </w:p>
    <w:p w:rsidR="00247426" w:rsidRDefault="00247426" w:rsidP="005C2F10">
      <w:pPr>
        <w:rPr>
          <w:sz w:val="36"/>
          <w:szCs w:val="36"/>
          <w:rtl/>
        </w:rPr>
      </w:pPr>
    </w:p>
    <w:p w:rsidR="00247426" w:rsidRDefault="00247426" w:rsidP="00247426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2019-2020</w:t>
      </w:r>
    </w:p>
    <w:p w:rsidR="00247426" w:rsidRDefault="00247426" w:rsidP="005C2F10">
      <w:pPr>
        <w:rPr>
          <w:sz w:val="36"/>
          <w:szCs w:val="36"/>
          <w:rtl/>
        </w:rPr>
      </w:pPr>
    </w:p>
    <w:p w:rsidR="0051002D" w:rsidRDefault="005C2F10" w:rsidP="0051002D">
      <w:pPr>
        <w:pStyle w:val="NormalWeb"/>
        <w:pBdr>
          <w:top w:val="single" w:sz="6" w:space="11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0" w:after="0" w:afterAutospacing="0"/>
        <w:ind w:left="360"/>
        <w:jc w:val="center"/>
        <w:rPr>
          <w:rFonts w:ascii="flat-jooza" w:hAnsi="flat-jooza"/>
          <w:color w:val="000066"/>
          <w:sz w:val="36"/>
          <w:szCs w:val="36"/>
          <w:rtl/>
        </w:rPr>
      </w:pPr>
      <w:r w:rsidRPr="00300218">
        <w:rPr>
          <w:sz w:val="36"/>
          <w:szCs w:val="36"/>
        </w:rPr>
        <w:tab/>
      </w:r>
      <w:r w:rsidRPr="00300218">
        <w:rPr>
          <w:rFonts w:ascii="flat-jooza" w:hAnsi="flat-jooza"/>
          <w:b/>
          <w:bCs/>
          <w:color w:val="000066"/>
          <w:sz w:val="36"/>
          <w:szCs w:val="36"/>
          <w:rtl/>
        </w:rPr>
        <w:t>لتمارين الخاصة لفعالية رمي القرص</w:t>
      </w:r>
      <w:r w:rsidRPr="00300218">
        <w:rPr>
          <w:rFonts w:ascii="flat-jooza" w:hAnsi="flat-jooza"/>
          <w:b/>
          <w:bCs/>
          <w:color w:val="000066"/>
          <w:sz w:val="36"/>
          <w:szCs w:val="36"/>
        </w:rPr>
        <w:br/>
      </w:r>
    </w:p>
    <w:p w:rsidR="0051002D" w:rsidRDefault="0051002D" w:rsidP="0051002D">
      <w:pPr>
        <w:pStyle w:val="NormalWeb"/>
        <w:pBdr>
          <w:top w:val="single" w:sz="6" w:space="11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0" w:after="0" w:afterAutospacing="0"/>
        <w:ind w:left="360"/>
        <w:jc w:val="center"/>
        <w:rPr>
          <w:rFonts w:ascii="flat-jooza" w:hAnsi="flat-jooza"/>
          <w:color w:val="000066"/>
          <w:sz w:val="36"/>
          <w:szCs w:val="36"/>
          <w:rtl/>
        </w:rPr>
      </w:pPr>
    </w:p>
    <w:p w:rsidR="0051002D" w:rsidRDefault="0051002D" w:rsidP="0051002D">
      <w:pPr>
        <w:pStyle w:val="NormalWeb"/>
        <w:pBdr>
          <w:top w:val="single" w:sz="6" w:space="11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0" w:after="0" w:afterAutospacing="0"/>
        <w:ind w:left="360"/>
        <w:jc w:val="center"/>
        <w:rPr>
          <w:rFonts w:ascii="flat-jooza" w:hAnsi="flat-jooza"/>
          <w:color w:val="000066"/>
          <w:sz w:val="36"/>
          <w:szCs w:val="36"/>
          <w:rtl/>
        </w:rPr>
      </w:pPr>
    </w:p>
    <w:p w:rsidR="00B021D1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  <w:rtl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إن التمارين الخاصة و خاصة في منافسات و فعاليات الرمي المختلفة ( قرص –رمح – الكرة الحديدية – المطرقة ) لها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خصوصة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العمل التدريبي و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التى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أصلاً تتعلق بتقنية الرمي الفعلية لكل فعالية و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التى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تلعب هذه التمارين الخاصة دور مهم في تعلم وتطوير و تنمية تكنيك وقوة الخاصة في منافسات الرمي و هنا نخص بالذكر منافسة رمي القرص</w:t>
      </w:r>
    </w:p>
    <w:p w:rsidR="005C2F10" w:rsidRPr="00300218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>.</w:t>
      </w:r>
    </w:p>
    <w:p w:rsidR="005C2F10" w:rsidRPr="00300218" w:rsidRDefault="005C2F10" w:rsidP="00B021D1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تعرف التمارين و التدريبات التي تهدف إلى الحصول على مجموعة أداء حركي خاص و هذا تماشيا لنوع الفعالية الممارسة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بإسم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التمارين التحضيرية الخاصة، حيث ترتبط هذه الأخيرة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إرتباطاً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وثيقاً بهيكل التنسيق الأساسي للحركة لنوع الفعالية أو المسابقة الممارسة من طرف المتدرب، أو حتى هي تعكس واحدة أو أكثر عناصر الحركية الخاصة بهذا النشاط الممارس من طرفه ، و من المهم أن تشمل هذه التمارين العناصر الخاصة للحركة و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التى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تشبع العمل و الأداء الداخلي و الخارجي في المنافسة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 xml:space="preserve"> ..</w:t>
      </w:r>
    </w:p>
    <w:p w:rsidR="005C2F10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  <w:rtl/>
        </w:rPr>
      </w:pPr>
    </w:p>
    <w:p w:rsidR="00B021D1" w:rsidRDefault="00B021D1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  <w:rtl/>
        </w:rPr>
      </w:pPr>
    </w:p>
    <w:p w:rsidR="00B021D1" w:rsidRDefault="00B021D1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  <w:rtl/>
        </w:rPr>
      </w:pPr>
    </w:p>
    <w:p w:rsidR="00B021D1" w:rsidRDefault="00B021D1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  <w:rtl/>
        </w:rPr>
      </w:pPr>
    </w:p>
    <w:p w:rsidR="0051002D" w:rsidRPr="00300218" w:rsidRDefault="0051002D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</w:p>
    <w:p w:rsidR="005C2F10" w:rsidRPr="00300218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إن التمارين الخاصة في فعالية رمي القرص تشمل أيضاً رمي الأدوات و الوسائل و المعدات المختلفة، حيث أن هذه التمارين تأخذ مكان و حيز تدريبي في البرنامج التدريبي الموسمي في فصل الشتاء و في داخل صالات و القاعات الرياضية ، حيث يجب أن تسمح أوزان هذه الأدوات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br/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للحصول على أداء الحركي الصحيح تقنيًا، إن عدد تكرارات هذه التمارين الخاصة يضبط وفقاً لمستوى اللياقة البدنية و التكنيكية التقنية ومستويات التحضير لهؤلاء الرماة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>.</w:t>
      </w:r>
    </w:p>
    <w:p w:rsidR="005C2F10" w:rsidRPr="00300218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و منه تصبح طبيعة التمرينات التمهيدية والإعدادية أكثر وضوحًا عند إسقاطها على أهم المراحل و الوضعيات الأدائية الأساسية لرمي القرص من حيث تناوب و تعاقب هذا الأداء الحركي لتكنيك رمي القرص من حيث مفهوم التعلم والتدريب. التدريبات ، بقدر ما أن الجانب التكنيكي يجب أن يحتوي على عناصر قابلة للتحويل من وضع حركي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الى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وضع آخر و هذا بتسلسل و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إنسيابية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مثالية و الملاحظ في الأداء الحركي أثناء المنافسات الرسمية ( العالمية – الأولمبية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 xml:space="preserve"> ) .</w:t>
      </w:r>
    </w:p>
    <w:p w:rsidR="005C2F10" w:rsidRPr="00300218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وبالتالي فإن التمارين الخاصة المختارة يجب أن تستند إلى المواقف الرئيسية لإجراءات الرمي لجعل تقييم فعاليتها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البيوميكانيكية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ممكن ، وتشمل هذه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التقيمات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الأدائية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التى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تكون في بداية أداء المرجحة التمهيدية لرمي ، و مرحلة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الإرتكاز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و الإسناد الفعلي لجسم الرامي على الأرض ، ثم مرحلة الدوران و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التى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تعتمد على فردية كل رامي ، ثم مرحلة التهيؤ لرمي القرص أو مرحلة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الإرتكاز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و الكبح النهائية و مرحلة التخلص و ترك القرص في بداية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إنطلاق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القرص و أخيراً مرحلة حفظ التوازن أو مرحلة التغطية و المحافظة على التوازن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 xml:space="preserve"> .</w:t>
      </w:r>
    </w:p>
    <w:p w:rsidR="005C2F10" w:rsidRPr="00300218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كل موقف حركي من هذه المواقف الحركية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الدورانية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يتميز بوضع أجزاء جسم الرامي المختلفة فيما يتعلق بتنفيذ الرمية والتوتر الذي ينجز من جراء أداء عضلات الذراعين و الكتفين ، كما أنه يتغير موقف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الرمى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وكذلك التوتر في العضلات المادة عند الأداء حسب كل رامي ، مثل هذا الأداء التكنيكي ( فن الأداء ) المعقد و خاصة هنا لفعالية رمي القرص يكون الأداء فيه على أساس المواقف الحركية الرئيسية التي تخلق أفضل الشروط الممكنة لإنتاج أقصى أداء من طرف الرامي، و يحدث هذا عن 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lastRenderedPageBreak/>
        <w:t xml:space="preserve">طريق ضم و تكتيل و جمع جميع مراحل الأداء الحركي لرمي إلى تحقيق النتيجة النهائية للرمي ن حيث تكون الرمية الكلية ناجحة إذا كان الرامي يتعلم ويطور تكنيك مرحلة التخلص من القرص بشكل صحيح و فعال قدر الإمكان ، حيث وجب تجنب الأخطاء المرتكبة من ناحية المؤشرات الفردية لكل رامي في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الاداء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الحركي و من المواقف الرئيسية لمراحل أداء الرمية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>.</w:t>
      </w:r>
    </w:p>
    <w:p w:rsidR="005C2F10" w:rsidRPr="00300218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إن إتباع تطبيق و أداء التمارين الخاصة في إنشاء التكنيك الكلاسيكي لرمي بشكل خاص يكون ذا أهمية بالغة في السنوات الأولى من عملية التدريبية و عملية التعلم عند الرامي الناشئ ، ما هي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الا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بعد التقنية الكلاسيكية وقد ثبت أن الرماة قادرين على إجراء تغييرات في التكنيك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الاداء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على أساس المكتسبات الفردية الخاصة بهم. </w:t>
      </w:r>
      <w:proofErr w:type="gram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أيضا</w:t>
      </w:r>
      <w:proofErr w:type="gram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مهم بشكل خاص هو أن يكون تنفيذ التمارين في التسلسل الصحيح لكل مرحلة من مراحل الأداء وفي ترتيب زمني محدد للسرعة والإيقاع الرمي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>.</w:t>
      </w:r>
    </w:p>
    <w:p w:rsidR="005C2F10" w:rsidRPr="00300218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عادة ما يتم الحفاظ على البنية الإيقاعية للرمي الكامل الخاصة بالرماة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الابطال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( رياضي النخبة – فرق القومية )و على الرغم من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الإختلافات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في مدة المراحل تنفيذ الأداء حيث تكون هناك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رمحلة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تأخذ وقت أكثر من الأخرى عند الأداء ، و هذا هو السبب في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إستخدام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العديد من المدربين الخبراء لأدوات و الوسائل التدريبية من أوزان و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اثقال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مختلفة (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اقراص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حديدية –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جلات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) المختلفة مع تمارين ذات شدة مختلفة و هذا للحفاظ على قدر الإمكان لإيقاع رمي في المنافسات الرئيسية و الرسمية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 xml:space="preserve"> .</w:t>
      </w:r>
    </w:p>
    <w:p w:rsidR="005C2F10" w:rsidRPr="00300218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علاوة على ذلك يقوم الرماة عند قذف و رمي القرص بضبط أساليبهم إلى مستوى القوة المحسنة عند الأداء و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التى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بدورها تكون هي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المسؤولة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عن التغييرات في تكنيك الأداء ( فن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الاداء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). بعد كل شيء يكون الأداء أكثر كفاءة الذي يعتمد على الأداء النهائي بشكل كبير على مستوى القوة العضلة المكتسبة لدى الرامي ،و قوة و مرونة الأوتار والأربطة المفصلية لديه خاصة على مستوى الكتفين و الحوض و التي تم وضع لها خصيصاً تمارين خاصة و هذا تبعاً للمواقف الأدائية الرئيسية عند الرماة، حيث أن هذه القوة معروفة بالقوة العضلية الخاصة لرماة القرص و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التى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تعد أكثر وسائل فعالة لتطوير قوة العضلية الخاصة و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التى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بدورها تحددها التحضيرات و الإعدادات التدريبية الخاصة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 xml:space="preserve"> .</w:t>
      </w:r>
    </w:p>
    <w:p w:rsidR="00B021D1" w:rsidRPr="00300218" w:rsidRDefault="00B021D1" w:rsidP="00B021D1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center"/>
        <w:rPr>
          <w:rFonts w:ascii="flat-jooza" w:eastAsia="Times New Roman" w:hAnsi="flat-jooza" w:cs="Times New Roman"/>
          <w:b/>
          <w:bCs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b/>
          <w:bCs/>
          <w:color w:val="000066"/>
          <w:sz w:val="36"/>
          <w:szCs w:val="36"/>
          <w:rtl/>
        </w:rPr>
        <w:lastRenderedPageBreak/>
        <w:t xml:space="preserve">تمارين </w:t>
      </w:r>
      <w:proofErr w:type="spellStart"/>
      <w:r w:rsidRPr="00300218">
        <w:rPr>
          <w:rFonts w:ascii="flat-jooza" w:eastAsia="Times New Roman" w:hAnsi="flat-jooza" w:cs="Times New Roman"/>
          <w:b/>
          <w:bCs/>
          <w:color w:val="000066"/>
          <w:sz w:val="36"/>
          <w:szCs w:val="36"/>
          <w:rtl/>
        </w:rPr>
        <w:t>الاعداد</w:t>
      </w:r>
      <w:proofErr w:type="spellEnd"/>
      <w:r w:rsidRPr="00300218">
        <w:rPr>
          <w:rFonts w:ascii="flat-jooza" w:eastAsia="Times New Roman" w:hAnsi="flat-jooza" w:cs="Times New Roman"/>
          <w:b/>
          <w:bCs/>
          <w:color w:val="000066"/>
          <w:sz w:val="36"/>
          <w:szCs w:val="36"/>
          <w:rtl/>
        </w:rPr>
        <w:t xml:space="preserve"> </w:t>
      </w:r>
      <w:proofErr w:type="spellStart"/>
      <w:r w:rsidRPr="00300218">
        <w:rPr>
          <w:rFonts w:ascii="flat-jooza" w:eastAsia="Times New Roman" w:hAnsi="flat-jooza" w:cs="Times New Roman"/>
          <w:b/>
          <w:bCs/>
          <w:color w:val="000066"/>
          <w:sz w:val="36"/>
          <w:szCs w:val="36"/>
          <w:rtl/>
        </w:rPr>
        <w:t>الاساسية</w:t>
      </w:r>
      <w:proofErr w:type="spellEnd"/>
    </w:p>
    <w:p w:rsidR="00B021D1" w:rsidRDefault="00B021D1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  <w:rtl/>
        </w:rPr>
      </w:pPr>
    </w:p>
    <w:p w:rsidR="005C2F10" w:rsidRPr="00300218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center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noProof/>
          <w:color w:val="000066"/>
          <w:sz w:val="36"/>
          <w:szCs w:val="36"/>
        </w:rPr>
        <w:drawing>
          <wp:inline distT="0" distB="0" distL="0" distR="0">
            <wp:extent cx="5219700" cy="7239000"/>
            <wp:effectExtent l="19050" t="0" r="0" b="0"/>
            <wp:docPr id="28" name="Imagen 28" descr="https://i2.wp.com/iraqacad.net/wp-content/uploads/2019/05/pic_1.jpg?resize=548%2C76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2.wp.com/iraqacad.net/wp-content/uploads/2019/05/pic_1.jpg?resize=548%2C760&amp;ssl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218" w:rsidRDefault="00300218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  <w:rtl/>
        </w:rPr>
      </w:pPr>
    </w:p>
    <w:p w:rsidR="005C2F10" w:rsidRPr="00300218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> </w:t>
      </w:r>
    </w:p>
    <w:p w:rsidR="005C2F10" w:rsidRPr="00300218" w:rsidRDefault="005C2F10" w:rsidP="005C2F10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spacing w:before="100" w:beforeAutospacing="1" w:after="360" w:line="240" w:lineRule="auto"/>
        <w:jc w:val="right"/>
        <w:rPr>
          <w:rFonts w:ascii="flat-jooza" w:eastAsia="Times New Roman" w:hAnsi="flat-jooza" w:cs="Times New Roman"/>
          <w:color w:val="000066"/>
          <w:sz w:val="36"/>
          <w:szCs w:val="36"/>
        </w:rPr>
      </w:pPr>
      <w:proofErr w:type="gramStart"/>
      <w:r w:rsidRPr="00300218">
        <w:rPr>
          <w:rFonts w:ascii="flat-jooza" w:eastAsia="Times New Roman" w:hAnsi="flat-jooza" w:cs="Times New Roman"/>
          <w:b/>
          <w:bCs/>
          <w:color w:val="000066"/>
          <w:sz w:val="36"/>
          <w:szCs w:val="36"/>
          <w:rtl/>
        </w:rPr>
        <w:t>تمارين</w:t>
      </w:r>
      <w:proofErr w:type="gramEnd"/>
      <w:r w:rsidRPr="00300218">
        <w:rPr>
          <w:rFonts w:ascii="flat-jooza" w:eastAsia="Times New Roman" w:hAnsi="flat-jooza" w:cs="Times New Roman"/>
          <w:b/>
          <w:bCs/>
          <w:color w:val="000066"/>
          <w:sz w:val="36"/>
          <w:szCs w:val="36"/>
          <w:rtl/>
        </w:rPr>
        <w:t xml:space="preserve"> الإعداد الخاصة</w:t>
      </w:r>
      <w:r w:rsidRPr="00300218">
        <w:rPr>
          <w:rFonts w:ascii="flat-jooza" w:eastAsia="Times New Roman" w:hAnsi="flat-jooza" w:cs="Times New Roman"/>
          <w:b/>
          <w:bCs/>
          <w:color w:val="000066"/>
          <w:sz w:val="36"/>
          <w:szCs w:val="36"/>
        </w:rPr>
        <w:t>:</w:t>
      </w:r>
    </w:p>
    <w:p w:rsidR="005C2F10" w:rsidRPr="00300218" w:rsidRDefault="005C2F10" w:rsidP="00300218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bidi/>
        <w:spacing w:before="100" w:beforeAutospacing="1" w:after="360" w:line="240" w:lineRule="auto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يوصى هنا في تمارين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الغعدادية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الخاصة بتقسيم تدريبات الرمي الخاصة إلى ثلاث فئات و هذا وفقاً لتأثيرها على تطوير تكنيك الرمي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 xml:space="preserve"> :</w:t>
      </w:r>
    </w:p>
    <w:p w:rsidR="005C2F10" w:rsidRPr="00300218" w:rsidRDefault="005C2F10" w:rsidP="00300218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bidi/>
        <w:spacing w:before="100" w:beforeAutospacing="1" w:after="360" w:line="240" w:lineRule="auto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 xml:space="preserve">-1- 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رمي الأدوات و الوسائل بأعلى شدة ممكنة </w:t>
      </w:r>
      <w:proofErr w:type="gram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(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إستعمال</w:t>
      </w:r>
      <w:proofErr w:type="spellEnd"/>
      <w:proofErr w:type="gram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القرص القانونية فقط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>).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br/>
        <w:t xml:space="preserve">-2- 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رمي الأدوات ذات التأثير العالي (الرجال -1.5 إلى 2.3 كجم ، النساء -0.75 إلى 1.25 كجم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>).</w:t>
      </w:r>
    </w:p>
    <w:p w:rsidR="005C2F10" w:rsidRPr="00300218" w:rsidRDefault="005C2F10" w:rsidP="00300218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BFBFB"/>
        <w:bidi/>
        <w:spacing w:before="100" w:beforeAutospacing="1" w:after="360" w:line="240" w:lineRule="auto"/>
        <w:rPr>
          <w:rFonts w:ascii="flat-jooza" w:eastAsia="Times New Roman" w:hAnsi="flat-jooza" w:cs="Times New Roman"/>
          <w:color w:val="000066"/>
          <w:sz w:val="36"/>
          <w:szCs w:val="36"/>
        </w:rPr>
      </w:pP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 xml:space="preserve">-3- 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رمي الأدوات ذات التأثير المحدود (أثقال أو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اقراص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التى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تكون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br/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أخف من </w:t>
      </w:r>
      <w:proofErr w:type="spellStart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>الاقراص</w:t>
      </w:r>
      <w:proofErr w:type="spellEnd"/>
      <w:r w:rsidRPr="00300218">
        <w:rPr>
          <w:rFonts w:ascii="flat-jooza" w:eastAsia="Times New Roman" w:hAnsi="flat-jooza" w:cs="Times New Roman"/>
          <w:color w:val="000066"/>
          <w:sz w:val="36"/>
          <w:szCs w:val="36"/>
          <w:rtl/>
        </w:rPr>
        <w:t xml:space="preserve"> القانونية</w:t>
      </w:r>
      <w:r w:rsidRPr="00300218">
        <w:rPr>
          <w:rFonts w:ascii="flat-jooza" w:eastAsia="Times New Roman" w:hAnsi="flat-jooza" w:cs="Times New Roman"/>
          <w:color w:val="000066"/>
          <w:sz w:val="36"/>
          <w:szCs w:val="36"/>
        </w:rPr>
        <w:t>).</w:t>
      </w:r>
    </w:p>
    <w:p w:rsidR="00462E9D" w:rsidRPr="00300218" w:rsidRDefault="00462E9D" w:rsidP="005C2F10">
      <w:pPr>
        <w:rPr>
          <w:sz w:val="36"/>
          <w:szCs w:val="36"/>
        </w:rPr>
      </w:pPr>
    </w:p>
    <w:sectPr w:rsidR="00462E9D" w:rsidRPr="00300218" w:rsidSect="00462E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5B2" w:rsidRDefault="002405B2" w:rsidP="002405B2">
      <w:pPr>
        <w:spacing w:after="0" w:line="240" w:lineRule="auto"/>
      </w:pPr>
      <w:r>
        <w:separator/>
      </w:r>
    </w:p>
  </w:endnote>
  <w:endnote w:type="continuationSeparator" w:id="0">
    <w:p w:rsidR="002405B2" w:rsidRDefault="002405B2" w:rsidP="0024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t-joo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5B2" w:rsidRDefault="002405B2" w:rsidP="002405B2">
      <w:pPr>
        <w:spacing w:after="0" w:line="240" w:lineRule="auto"/>
      </w:pPr>
      <w:r>
        <w:separator/>
      </w:r>
    </w:p>
  </w:footnote>
  <w:footnote w:type="continuationSeparator" w:id="0">
    <w:p w:rsidR="002405B2" w:rsidRDefault="002405B2" w:rsidP="0024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11DD2"/>
    <w:multiLevelType w:val="multilevel"/>
    <w:tmpl w:val="52E2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F10"/>
    <w:rsid w:val="00030F45"/>
    <w:rsid w:val="002405B2"/>
    <w:rsid w:val="00247426"/>
    <w:rsid w:val="00284A1F"/>
    <w:rsid w:val="00300218"/>
    <w:rsid w:val="00462E9D"/>
    <w:rsid w:val="0051002D"/>
    <w:rsid w:val="005C2F10"/>
    <w:rsid w:val="005D77A2"/>
    <w:rsid w:val="00B0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F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405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5B2"/>
  </w:style>
  <w:style w:type="paragraph" w:styleId="Piedepgina">
    <w:name w:val="footer"/>
    <w:basedOn w:val="Normal"/>
    <w:link w:val="PiedepginaCar"/>
    <w:uiPriority w:val="99"/>
    <w:semiHidden/>
    <w:unhideWhenUsed/>
    <w:rsid w:val="002405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26D04-696A-4BCD-8910-49823610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</dc:creator>
  <cp:keywords/>
  <dc:description/>
  <cp:lastModifiedBy>MERABET</cp:lastModifiedBy>
  <cp:revision>7</cp:revision>
  <dcterms:created xsi:type="dcterms:W3CDTF">2020-04-13T23:27:00Z</dcterms:created>
  <dcterms:modified xsi:type="dcterms:W3CDTF">2020-04-14T00:14:00Z</dcterms:modified>
</cp:coreProperties>
</file>