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9FC">
        <w:rPr>
          <w:rFonts w:asciiTheme="majorBidi" w:hAnsiTheme="majorBidi" w:cstheme="majorBidi"/>
          <w:b/>
          <w:bCs/>
          <w:sz w:val="24"/>
          <w:szCs w:val="24"/>
        </w:rPr>
        <w:t>2.2 Gisements exploitables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9FC">
        <w:rPr>
          <w:rFonts w:asciiTheme="majorBidi" w:hAnsiTheme="majorBidi" w:cstheme="majorBidi"/>
          <w:b/>
          <w:bCs/>
          <w:sz w:val="24"/>
          <w:szCs w:val="24"/>
        </w:rPr>
        <w:t>2.2.1 Chutes sidérurgiques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9809FC">
        <w:rPr>
          <w:rFonts w:asciiTheme="majorBidi" w:hAnsiTheme="majorBidi" w:cstheme="majorBidi"/>
          <w:sz w:val="24"/>
          <w:szCs w:val="24"/>
        </w:rPr>
        <w:t xml:space="preserve">Quelles sont les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quantités disponibles </w:t>
      </w:r>
      <w:r w:rsidRPr="009809FC">
        <w:rPr>
          <w:rFonts w:asciiTheme="majorBidi" w:hAnsiTheme="majorBidi" w:cstheme="majorBidi"/>
          <w:sz w:val="24"/>
          <w:szCs w:val="24"/>
        </w:rPr>
        <w:t>?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 xml:space="preserve">Nous avons mentionné précédemment que ce genre de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>chutes</w:t>
      </w:r>
      <w:r w:rsidRPr="009809F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fatales </w:t>
      </w:r>
      <w:r w:rsidRPr="009809FC">
        <w:rPr>
          <w:rFonts w:asciiTheme="majorBidi" w:hAnsiTheme="majorBidi" w:cstheme="majorBidi"/>
          <w:sz w:val="24"/>
          <w:szCs w:val="24"/>
        </w:rPr>
        <w:t>lorsqu’elles sont techniques c’est-à-dire liées aux processus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de fabrication, a tendance à diminuer en valeur relative par rapport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à la totalité des ferrailles pour deux raisons essentielles :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 xml:space="preserve">—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l’amélioration des processus </w:t>
      </w:r>
      <w:r w:rsidRPr="009809FC">
        <w:rPr>
          <w:rFonts w:asciiTheme="majorBidi" w:hAnsiTheme="majorBidi" w:cstheme="majorBidi"/>
          <w:sz w:val="24"/>
          <w:szCs w:val="24"/>
        </w:rPr>
        <w:t>existants et le développement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nouveaux processus ;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 xml:space="preserve">—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l’amélioration des rendements </w:t>
      </w:r>
      <w:r w:rsidRPr="009809FC">
        <w:rPr>
          <w:rFonts w:asciiTheme="majorBidi" w:hAnsiTheme="majorBidi" w:cstheme="majorBidi"/>
          <w:sz w:val="24"/>
          <w:szCs w:val="24"/>
        </w:rPr>
        <w:t>des processus.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>Les quantités disponibles peuvent être évaluées a priori grâce à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connaissance de deux paramètres :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 xml:space="preserve">— la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>mise au mille</w:t>
      </w:r>
      <w:r w:rsidRPr="009809FC">
        <w:rPr>
          <w:rFonts w:asciiTheme="majorBidi" w:hAnsiTheme="majorBidi" w:cstheme="majorBidi"/>
          <w:sz w:val="24"/>
          <w:szCs w:val="24"/>
        </w:rPr>
        <w:t>, c’est-à-dire la quantité d’acier élaboré pour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livrer une tonne (1 000 kg) de bon produit au transformateur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d’acier ;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 xml:space="preserve">—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l’activité des usines </w:t>
      </w:r>
      <w:r w:rsidRPr="009809FC">
        <w:rPr>
          <w:rFonts w:asciiTheme="majorBidi" w:hAnsiTheme="majorBidi" w:cstheme="majorBidi"/>
          <w:sz w:val="24"/>
          <w:szCs w:val="24"/>
        </w:rPr>
        <w:t>sidérurgiques, c’est-à-dire le taux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charge des capacités de production existantes. Ce taux varie entre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60 et 100 % selon les sites (la prise en compte d’une moyenne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80 %, pour faire des prévisions à long terme, est raisonnable).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>Une usine intégrée moderne réalise aujourd’hui une mise au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mille de 1 150 à 1 200, ce qui signifie que la quantité de chutes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disponibles représente 13 à 17 % de l’acier liquide produit, soit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 xml:space="preserve">au niveau mondial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130 à 170 millions de tonnes </w:t>
      </w:r>
      <w:r w:rsidRPr="009809FC">
        <w:rPr>
          <w:rFonts w:asciiTheme="majorBidi" w:hAnsiTheme="majorBidi" w:cstheme="majorBidi"/>
          <w:sz w:val="24"/>
          <w:szCs w:val="24"/>
        </w:rPr>
        <w:t>pour 1 milliard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de tonnes d’acier liquide.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 xml:space="preserve">Durée de vie </w:t>
      </w: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et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>caractéristiques</w:t>
      </w:r>
      <w:r w:rsidRPr="009809FC">
        <w:rPr>
          <w:rFonts w:asciiTheme="majorBidi" w:eastAsia="ZapfDingbats" w:hAnsiTheme="majorBidi" w:cstheme="majorBidi"/>
          <w:sz w:val="24"/>
          <w:szCs w:val="24"/>
        </w:rPr>
        <w:t>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>Elle est courte, par définition, puisque leur recyclage est pratiquement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immédiat. Ces chutes qui ont un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 xml:space="preserve">caractère captif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ne font pas,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ou peu, l’objet de négoce.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>Par définition, leur composition, listée ci-dessous, convient parfaitement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aux aciéristes qui les ont eux-mêmes générées :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>— ferrailles massives, lorsqu’il s’agit de chutes d’aciérie, de coulée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continue ou de laminage à chaud, elles entrent majoritairement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dans la catégorie E2 du référentiel ;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>— ferrailles légères, souvent revêtues de zinc, d’étain, de peinture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ou laque, lorsqu’il s’agit de chutes d’usines sidérurgiques à froid,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elle</w:t>
      </w: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 entre en catégories E8 ou E6.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■ Les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 xml:space="preserve">coproduits ferreux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constituent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 une catégorie de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>source de fer</w:t>
      </w:r>
      <w:r>
        <w:rPr>
          <w:rFonts w:asciiTheme="majorBidi" w:eastAsia="ZapfDingbats" w:hAnsiTheme="majorBidi" w:cstheme="majorBidi"/>
          <w:b/>
          <w:bCs/>
          <w:sz w:val="24"/>
          <w:szCs w:val="24"/>
        </w:rPr>
        <w:t xml:space="preserve"> 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aujourd’hui mal valorisée dans la mesure où elle se présente sous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une forme granulaire ou pondéreuse associée à d’autres éléments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minéraux (silice, chaux) ou organiques (huiles et graisses) et souvent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oxydée.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>C’est cependant une ressource offrant des perspectives pour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l’avenir et qui pourrait être valorisée après traitement dans des installations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en cours de développement de pré-réduction.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b/>
          <w:bCs/>
          <w:sz w:val="24"/>
          <w:szCs w:val="24"/>
        </w:rPr>
      </w:pP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lastRenderedPageBreak/>
        <w:t>2.2.2 Chutes de transformation des aciers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■ Les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 xml:space="preserve">quantités relatives </w:t>
      </w: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sont en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 xml:space="preserve">diminution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et pour les mêmes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motifs, amélioration des processus et des rendements évoqués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pour les chutes sidérurgiques.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>Les prévisions de mise à disposition sont également liées à la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connaissance des rendements de mise en œuvre des produits et de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l’activité économique.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>Les rendements sont eux-mêmes très variables selon le type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d’activité, de 40 à 45 % de chutes en emboutissage de carrosseries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automobiles à quelques pourcents dans la construction métallique.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Une bonne prévision passe donc par la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>connaissance de l’activité</w:t>
      </w:r>
      <w:r>
        <w:rPr>
          <w:rFonts w:asciiTheme="majorBidi" w:eastAsia="ZapfDingbats" w:hAnsiTheme="majorBidi" w:cstheme="majorBidi"/>
          <w:b/>
          <w:bCs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>dans chaque branche de transformation</w:t>
      </w:r>
      <w:r w:rsidRPr="009809FC">
        <w:rPr>
          <w:rFonts w:asciiTheme="majorBidi" w:eastAsia="ZapfDingbats" w:hAnsiTheme="majorBidi" w:cstheme="majorBidi"/>
          <w:sz w:val="24"/>
          <w:szCs w:val="24"/>
        </w:rPr>
        <w:t>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>Sur la base d’une moyenne, pour toutes les activités, que nous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estimons à 10 % de chutes, avec une mise au mille sidérurgique de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1 115 pour 1 milliard de tonnes d’acier produit, cela nous donnerait,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pour le monde, un peu moins de 870 millions de tonnes d’acier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transformé, soit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>87 millions de tonnes de chutes de transformation</w:t>
      </w:r>
      <w:r w:rsidRPr="009809FC">
        <w:rPr>
          <w:rFonts w:asciiTheme="majorBidi" w:eastAsia="ZapfDingbats" w:hAnsiTheme="majorBidi" w:cstheme="majorBidi"/>
          <w:sz w:val="24"/>
          <w:szCs w:val="24"/>
        </w:rPr>
        <w:t>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Ces chiffres sont à rapprocher de ceux du tableau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>2</w:t>
      </w:r>
      <w:r w:rsidRPr="009809FC">
        <w:rPr>
          <w:rFonts w:asciiTheme="majorBidi" w:eastAsia="ZapfDingbats" w:hAnsiTheme="majorBidi" w:cstheme="majorBidi"/>
          <w:sz w:val="24"/>
          <w:szCs w:val="24"/>
        </w:rPr>
        <w:t>, qui, eux,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représentent des résultats statistiques.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■ Leur durée de vie est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>courte</w:t>
      </w:r>
      <w:r w:rsidRPr="009809FC">
        <w:rPr>
          <w:rFonts w:asciiTheme="majorBidi" w:eastAsia="ZapfDingbats" w:hAnsiTheme="majorBidi" w:cstheme="majorBidi"/>
          <w:sz w:val="24"/>
          <w:szCs w:val="24"/>
        </w:rPr>
        <w:t>, également. Les transformateurs travaillant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de plus en plus en flux tendus avec leurs fournisseurs, les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stocks amont sont faibles.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>De plus, le manque de place dans les usines, très automatisées,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ne permet pas de stocker des chutes d’acier.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>Celles-ci sont disponibles sur le marché libre, les transformateurs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ayant rarement des contrats de restitution avec leurs fournisseurs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d’aciers. Elles ont fait, au cours des années récemment écoulées,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l’objet de surenchères de la part des négociants.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■ Leurs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 xml:space="preserve">caractéristiques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sont de trois ordres :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— large prépondérance des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>produits plats</w:t>
      </w:r>
      <w:r w:rsidRPr="009809FC">
        <w:rPr>
          <w:rFonts w:asciiTheme="majorBidi" w:eastAsia="ZapfDingbats" w:hAnsiTheme="majorBidi" w:cstheme="majorBidi"/>
          <w:sz w:val="24"/>
          <w:szCs w:val="24"/>
        </w:rPr>
        <w:t>, industrie automobile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en tête. Ces chutes entrent dans les catégories E8, E2, E6 ;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— une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>densification</w:t>
      </w:r>
      <w:r w:rsidRPr="009809FC">
        <w:rPr>
          <w:rFonts w:asciiTheme="majorBidi" w:eastAsia="ZapfDingbats" w:hAnsiTheme="majorBidi" w:cstheme="majorBidi"/>
          <w:sz w:val="24"/>
          <w:szCs w:val="24"/>
        </w:rPr>
        <w:t>, par cisaillage et surtout compactage, est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souhaitable voire nécessaire ;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>— leur composition chimique, en majorité des aciers au carbone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peu ou pas alliés, est appréciée des aciéries électriques. Malheureusement,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ces aciéries sont en général mal coordonnées entre elles à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l’achat et subissent les effets de la spéculation du négoce.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b/>
          <w:bCs/>
          <w:sz w:val="24"/>
          <w:szCs w:val="24"/>
        </w:rPr>
      </w:pP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>2.2.3 Vieilles ferrailles issues des produits en fin</w:t>
      </w:r>
      <w:r>
        <w:rPr>
          <w:rFonts w:asciiTheme="majorBidi" w:eastAsia="ZapfDingbats" w:hAnsiTheme="majorBidi" w:cstheme="majorBidi"/>
          <w:b/>
          <w:bCs/>
          <w:sz w:val="24"/>
          <w:szCs w:val="24"/>
        </w:rPr>
        <w:t xml:space="preserve"> de vie 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>■ L’acier étant un matériau entrant dans la composition d’une majorité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de biens d’équipements, lourds ou de grande diffusion, la quantité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de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 xml:space="preserve">matières ferreuses disponibles </w:t>
      </w:r>
      <w:r w:rsidRPr="009809FC">
        <w:rPr>
          <w:rFonts w:asciiTheme="majorBidi" w:eastAsia="ZapfDingbats" w:hAnsiTheme="majorBidi" w:cstheme="majorBidi"/>
          <w:sz w:val="24"/>
          <w:szCs w:val="24"/>
        </w:rPr>
        <w:lastRenderedPageBreak/>
        <w:t>dans les produits en fin de vie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est liée au taux de croissance des économies nationales. On peut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donc s’attendre à ce qu’elle évolue, un peu comme le PIB.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>Toutefois, à l’inverse de ce qui se passe pour les chutes neuves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immédiatement disponibles après la production et la transformation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des aciers, les vieilles ferrailles sont mises à disposition avec un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 xml:space="preserve">décalage </w:t>
      </w: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correspondant à la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 xml:space="preserve">durée de vie des produits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mis sur le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marché au cours d’une année donnée. Ceci nous ramène à la problématique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résumée dans le tableau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>1</w:t>
      </w:r>
      <w:r w:rsidRPr="009809FC">
        <w:rPr>
          <w:rFonts w:asciiTheme="majorBidi" w:eastAsia="ZapfDingbats" w:hAnsiTheme="majorBidi" w:cstheme="majorBidi"/>
          <w:sz w:val="24"/>
          <w:szCs w:val="24"/>
        </w:rPr>
        <w:t>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Si l’on ajoute à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>l’effet durée de vie</w:t>
      </w: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, celui de la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>fluctuation des taux</w:t>
      </w:r>
      <w:r>
        <w:rPr>
          <w:rFonts w:asciiTheme="majorBidi" w:eastAsia="ZapfDingbats" w:hAnsiTheme="majorBidi" w:cstheme="majorBidi"/>
          <w:b/>
          <w:bCs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 xml:space="preserve">de croissance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des pays sur la planète, cela complique singulièrement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la relation entre la connaissance du disponible et l’expression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du besoin.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■ La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 xml:space="preserve">durée de vie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des biens contenant des sources de fer et leurs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 xml:space="preserve">caractéristiques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répondent aux remarques suivantes. Premièrement,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la durée de vie est :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— éminemment variable selon les produits (§ 1.1.2, tableau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>1</w:t>
      </w:r>
      <w:r w:rsidRPr="009809FC">
        <w:rPr>
          <w:rFonts w:asciiTheme="majorBidi" w:eastAsia="ZapfDingbats" w:hAnsiTheme="majorBidi" w:cstheme="majorBidi"/>
          <w:sz w:val="24"/>
          <w:szCs w:val="24"/>
        </w:rPr>
        <w:t>) ;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>— pour un produit donné, variable selon les niveaux de vie et les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évènements climatiques ou politiques.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>Quant aux caractéristiques, il existe trois remarques à faire :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>— les vieilles ferrailles recouvrent le plus grand nombre des catégories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du référentiel. E1 et E3 pour les ferrailles provenant de la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démolition de bâtiments et structures, E40 pour les ferrailles provenant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des biens de grande consommation, EHR pour les ferrailles provenant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d’armatures à béton ou de pièces mécaniques en aciers alliés ;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>— avant d’être livrées aux consommateurs, ces ferrailles font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l’objet d’une collecte, souvent coûteuse et de plus en plus soumise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à des contraintes réglementaires. C’est le « marché inversé » illustré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dans la figure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 xml:space="preserve">4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(§ 1.3.2) ;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>— dans la majorité des cas d’utilisations, une préparation est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nécessaire pour trier les nuances, éliminer un maximum de produits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non ferreux provenant des assemblages d’origine, mettre à dimension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et densifier. Les procédés et les étapes de cette préparation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seront décrits dans la suite de cet exposé (§ 3.1.3).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9FC">
        <w:rPr>
          <w:rFonts w:asciiTheme="majorBidi" w:hAnsiTheme="majorBidi" w:cstheme="majorBidi"/>
          <w:b/>
          <w:bCs/>
          <w:sz w:val="24"/>
          <w:szCs w:val="24"/>
        </w:rPr>
        <w:t>2.3 Organisation du marché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09FC">
        <w:rPr>
          <w:rFonts w:asciiTheme="majorBidi" w:hAnsiTheme="majorBidi" w:cstheme="majorBidi"/>
          <w:b/>
          <w:bCs/>
          <w:sz w:val="24"/>
          <w:szCs w:val="24"/>
        </w:rPr>
        <w:t>2.3.1 Les acteurs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9809FC">
        <w:rPr>
          <w:rFonts w:asciiTheme="majorBidi" w:hAnsiTheme="majorBidi" w:cstheme="majorBidi"/>
          <w:sz w:val="24"/>
          <w:szCs w:val="24"/>
        </w:rPr>
        <w:t xml:space="preserve">Les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détenteurs de produits en fin de vie </w:t>
      </w:r>
      <w:r w:rsidRPr="009809FC">
        <w:rPr>
          <w:rFonts w:asciiTheme="majorBidi" w:hAnsiTheme="majorBidi" w:cstheme="majorBidi"/>
          <w:sz w:val="24"/>
          <w:szCs w:val="24"/>
        </w:rPr>
        <w:t>constituent la base de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fameuse pyramide inversée et, en tant que tels, sont une multitude,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ce qui rend singulièrement difficile la collecte.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>Les débarrasser des produits en fin de vie représente un service,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rarement rémunéré par la valeur résiduelle des matériaux contenus.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lastRenderedPageBreak/>
        <w:t>Le plus grand nombre de détenteurs est représenté, par ce qu’il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est convenu de nommer, en langage économique, les ménages. 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autres détenteurs sont les commerçants et les industriels.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9809FC">
        <w:rPr>
          <w:rFonts w:asciiTheme="majorBidi" w:hAnsiTheme="majorBidi" w:cstheme="majorBidi"/>
          <w:sz w:val="24"/>
          <w:szCs w:val="24"/>
        </w:rPr>
        <w:t xml:space="preserve">Les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collecteurs de produits en fin de vie </w:t>
      </w:r>
      <w:r w:rsidRPr="009809FC">
        <w:rPr>
          <w:rFonts w:asciiTheme="majorBidi" w:hAnsiTheme="majorBidi" w:cstheme="majorBidi"/>
          <w:sz w:val="24"/>
          <w:szCs w:val="24"/>
        </w:rPr>
        <w:t>ont des spécificités, taille,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qualification, motivation, qui varient selon le type de bien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collecter :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 xml:space="preserve">— les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>professionnels du traitement de déchets</w:t>
      </w:r>
      <w:r w:rsidRPr="009809FC">
        <w:rPr>
          <w:rFonts w:asciiTheme="majorBidi" w:hAnsiTheme="majorBidi" w:cstheme="majorBidi"/>
          <w:sz w:val="24"/>
          <w:szCs w:val="24"/>
        </w:rPr>
        <w:t>, effectuant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prestations pour les collectivités locales, récupèrent tout ce qui peut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passer par la filière des déchets domestiques, tel que les emballages,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le petit outillage et le petit équipement ménager ;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 xml:space="preserve">— les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professionnels de la distribution </w:t>
      </w:r>
      <w:r w:rsidRPr="009809FC">
        <w:rPr>
          <w:rFonts w:asciiTheme="majorBidi" w:hAnsiTheme="majorBidi" w:cstheme="majorBidi"/>
          <w:sz w:val="24"/>
          <w:szCs w:val="24"/>
        </w:rPr>
        <w:t>assurent la reprise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équipements usagés lors de la livraison d’un équipement neuf. Ainsi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en va-t-il pour une partie, croissante, de l’électroménager et une partie,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en diminution, des automobiles ;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 xml:space="preserve">— les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installateurs </w:t>
      </w:r>
      <w:r w:rsidRPr="009809FC">
        <w:rPr>
          <w:rFonts w:asciiTheme="majorBidi" w:hAnsiTheme="majorBidi" w:cstheme="majorBidi"/>
          <w:sz w:val="24"/>
          <w:szCs w:val="24"/>
        </w:rPr>
        <w:t>d’équipements techniques dans les bâtiments,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tel chauffage et climatisation, se préoccupent de restituer les pièces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démontées à une filière de recyclage ;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 xml:space="preserve">— les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professionnels de la récupération </w:t>
      </w:r>
      <w:r w:rsidRPr="009809FC">
        <w:rPr>
          <w:rFonts w:asciiTheme="majorBidi" w:hAnsiTheme="majorBidi" w:cstheme="majorBidi"/>
          <w:sz w:val="24"/>
          <w:szCs w:val="24"/>
        </w:rPr>
        <w:t>visent plutôt les services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aux industriels et aux commerçants ;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 xml:space="preserve">— les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démolisseurs </w:t>
      </w:r>
      <w:r w:rsidRPr="009809FC">
        <w:rPr>
          <w:rFonts w:asciiTheme="majorBidi" w:hAnsiTheme="majorBidi" w:cstheme="majorBidi"/>
          <w:sz w:val="24"/>
          <w:szCs w:val="24"/>
        </w:rPr>
        <w:t>de bâtiments ou de véhicules automobiles assurent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l’évacuation des matériaux valorisables vers les récupérateurs.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9809FC">
        <w:rPr>
          <w:rFonts w:asciiTheme="majorBidi" w:hAnsiTheme="majorBidi" w:cstheme="majorBidi"/>
          <w:sz w:val="24"/>
          <w:szCs w:val="24"/>
        </w:rPr>
        <w:t xml:space="preserve">Les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récupérateurs de ferrailles et métaux </w:t>
      </w:r>
      <w:r w:rsidRPr="009809FC">
        <w:rPr>
          <w:rFonts w:asciiTheme="majorBidi" w:hAnsiTheme="majorBidi" w:cstheme="majorBidi"/>
          <w:sz w:val="24"/>
          <w:szCs w:val="24"/>
        </w:rPr>
        <w:t>sont au coeur du dispositif,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assurant en pratique, bien que ceci ne soit pas exprimé dans 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jurisprudences, le passage d’un produit de l’état de déchet à l’état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matière secondaire consommable en sidérurgie ou fonderie.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9809FC">
        <w:rPr>
          <w:rFonts w:asciiTheme="majorBidi" w:hAnsiTheme="majorBidi" w:cstheme="majorBidi"/>
          <w:sz w:val="24"/>
          <w:szCs w:val="24"/>
        </w:rPr>
        <w:t>Chez les consommateurs de ferrailles, il existe trois types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d’industriels consommateurs que nous citons par ordre croissant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capacité volumique à consommer des ferrailles.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● </w:t>
      </w:r>
      <w:r w:rsidRPr="009809FC">
        <w:rPr>
          <w:rFonts w:asciiTheme="majorBidi" w:hAnsiTheme="majorBidi" w:cstheme="majorBidi"/>
          <w:sz w:val="24"/>
          <w:szCs w:val="24"/>
        </w:rPr>
        <w:t xml:space="preserve">Les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fonderies </w:t>
      </w:r>
      <w:r w:rsidRPr="009809FC">
        <w:rPr>
          <w:rFonts w:asciiTheme="majorBidi" w:hAnsiTheme="majorBidi" w:cstheme="majorBidi"/>
          <w:sz w:val="24"/>
          <w:szCs w:val="24"/>
        </w:rPr>
        <w:t>achètent un tonnage à peu près égal au tonnage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de pièces produites. 50 % de la matière mise en oeuvre pour couler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les pièces tournant en circuit fermé à l’intérieur des ateliers.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>Pour donner un ordre de grandeur, nous dirons qu’elles représentent,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dans une société complètement industrialisée, un peu moins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de 10 % de la consommation.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>Il faut toutefois souligner que les fondeurs recherchent exclusivement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des ferrailles de qualité, riches en fer, pures en analyse et bien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calibrées. Ceci les cantonne dans l’achat de chutes neuves, E2 et E8,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et dans l’achat de bonnes chutes de démolition, E3 ; un complément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étant assuré par de la fonte en gueuze, pratiquement totalement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importée aujourd’hui par les européens.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● </w:t>
      </w:r>
      <w:r w:rsidRPr="009809FC">
        <w:rPr>
          <w:rFonts w:asciiTheme="majorBidi" w:hAnsiTheme="majorBidi" w:cstheme="majorBidi"/>
          <w:sz w:val="24"/>
          <w:szCs w:val="24"/>
        </w:rPr>
        <w:t xml:space="preserve">Les 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>aciéries de conversion</w:t>
      </w:r>
      <w:r w:rsidRPr="009809FC">
        <w:rPr>
          <w:rFonts w:asciiTheme="majorBidi" w:hAnsiTheme="majorBidi" w:cstheme="majorBidi"/>
          <w:sz w:val="24"/>
          <w:szCs w:val="24"/>
        </w:rPr>
        <w:t>, utilisant ordinairement la fonte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liquide produite par les hauts-fourneaux à partir de minerais de fer,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 xml:space="preserve">complètent leurs enfournements à raison de 10 à 20 % </w:t>
      </w:r>
      <w:r w:rsidRPr="009809FC">
        <w:rPr>
          <w:rFonts w:asciiTheme="majorBidi" w:hAnsiTheme="majorBidi" w:cstheme="majorBidi"/>
          <w:sz w:val="24"/>
          <w:szCs w:val="24"/>
        </w:rPr>
        <w:lastRenderedPageBreak/>
        <w:t>en tonnage,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tant pour des raisons de processus (consommation d’énergie excédentaire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générée par l’oxydation de la fonte et d’éléments indésirables),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que pour des raisons stratégiques (augmentation de capacité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des aciéries à production constante des hauts-fourneaux, réduction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des rejets de CO2).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09FC">
        <w:rPr>
          <w:rFonts w:asciiTheme="majorBidi" w:hAnsiTheme="majorBidi" w:cstheme="majorBidi"/>
          <w:sz w:val="24"/>
          <w:szCs w:val="24"/>
        </w:rPr>
        <w:t>Ainsi, avec 60 % de la production d’acier en Europe, un peu plus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au niveau mondial, et à raison de 15 % d’enfournement de ferrailles,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en moyenne, cette filière représente à peu près 20 % de la consommation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totale de ferrailles.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9809FC">
        <w:rPr>
          <w:rFonts w:asciiTheme="majorBidi" w:eastAsia="ZapfDingbats" w:hAnsiTheme="majorBidi" w:cstheme="majorBidi"/>
          <w:sz w:val="24"/>
          <w:szCs w:val="24"/>
        </w:rPr>
        <w:t xml:space="preserve">● Enfin, les </w:t>
      </w:r>
      <w:r w:rsidRPr="009809FC">
        <w:rPr>
          <w:rFonts w:asciiTheme="majorBidi" w:eastAsia="ZapfDingbats" w:hAnsiTheme="majorBidi" w:cstheme="majorBidi"/>
          <w:b/>
          <w:bCs/>
          <w:sz w:val="24"/>
          <w:szCs w:val="24"/>
        </w:rPr>
        <w:t xml:space="preserve">aciéries électriques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qui fonctionnent avec un enfournement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composé, presque exclusivement, de ferrailles représentent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9809FC">
        <w:rPr>
          <w:rFonts w:asciiTheme="majorBidi" w:eastAsia="ZapfDingbats" w:hAnsiTheme="majorBidi" w:cstheme="majorBidi"/>
          <w:sz w:val="24"/>
          <w:szCs w:val="24"/>
        </w:rPr>
        <w:t>70 % de la consommation totale.</w:t>
      </w:r>
    </w:p>
    <w:p w:rsidR="00CF3DC7" w:rsidRPr="009809FC" w:rsidRDefault="00CF3DC7" w:rsidP="00CF3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1148080</wp:posOffset>
            </wp:positionV>
            <wp:extent cx="3381375" cy="1276350"/>
            <wp:effectExtent l="19050" t="0" r="9525" b="0"/>
            <wp:wrapTopAndBottom/>
            <wp:docPr id="25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130" t="23235" r="29048" b="4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09FC">
        <w:rPr>
          <w:rFonts w:asciiTheme="majorBidi" w:hAnsiTheme="majorBidi" w:cstheme="majorBidi"/>
          <w:sz w:val="24"/>
          <w:szCs w:val="24"/>
        </w:rPr>
        <w:t xml:space="preserve">La figure 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9809F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image les chiffres du précédent propos. La comparaison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 xml:space="preserve">avec la figure </w:t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9809FC">
        <w:rPr>
          <w:rFonts w:asciiTheme="majorBidi" w:hAnsiTheme="majorBidi" w:cstheme="majorBidi"/>
          <w:sz w:val="24"/>
          <w:szCs w:val="24"/>
        </w:rPr>
        <w:t>, qui illustre la répartition de ferrailles par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famille, montre qu’une demande excessive sur les chutes neuves,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de la part des fonderies et aciéries de conversion, peut priver singulièrement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09FC">
        <w:rPr>
          <w:rFonts w:asciiTheme="majorBidi" w:hAnsiTheme="majorBidi" w:cstheme="majorBidi"/>
          <w:sz w:val="24"/>
          <w:szCs w:val="24"/>
        </w:rPr>
        <w:t>la filière électrique de bonnes ferrailles.</w:t>
      </w:r>
    </w:p>
    <w:p w:rsidR="00CF3DC7" w:rsidRDefault="00CF3DC7" w:rsidP="00CF3DC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F3DC7" w:rsidRDefault="00CF3DC7" w:rsidP="00CF3DC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F3DC7" w:rsidRPr="00C83A54" w:rsidRDefault="00CF3DC7" w:rsidP="00CF3DC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611505</wp:posOffset>
            </wp:positionV>
            <wp:extent cx="3136265" cy="1019175"/>
            <wp:effectExtent l="19050" t="0" r="6985" b="0"/>
            <wp:wrapTopAndBottom/>
            <wp:docPr id="26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529" t="32059" r="29048" b="36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A54">
        <w:rPr>
          <w:rFonts w:asciiTheme="majorBidi" w:hAnsiTheme="majorBidi" w:cstheme="majorBidi"/>
          <w:b/>
          <w:bCs/>
          <w:sz w:val="24"/>
          <w:szCs w:val="24"/>
        </w:rPr>
        <w:t>Figure 6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-</w:t>
      </w:r>
      <w:r w:rsidRPr="00C83A54">
        <w:rPr>
          <w:rFonts w:asciiTheme="majorBidi" w:hAnsiTheme="majorBidi" w:cstheme="majorBidi"/>
          <w:b/>
          <w:bCs/>
          <w:sz w:val="24"/>
          <w:szCs w:val="24"/>
        </w:rPr>
        <w:t xml:space="preserve"> Approche théorique de la répartition des ferrailles</w:t>
      </w:r>
    </w:p>
    <w:p w:rsidR="00CF3DC7" w:rsidRDefault="00CF3DC7" w:rsidP="00CF3DC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83A54">
        <w:rPr>
          <w:rFonts w:asciiTheme="majorBidi" w:hAnsiTheme="majorBidi" w:cstheme="majorBidi"/>
          <w:b/>
          <w:bCs/>
          <w:sz w:val="24"/>
          <w:szCs w:val="24"/>
        </w:rPr>
        <w:t>par grandes familles, en 2004</w:t>
      </w:r>
    </w:p>
    <w:p w:rsidR="00CF3DC7" w:rsidRPr="008024EE" w:rsidRDefault="00CF3DC7" w:rsidP="00CF3DC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F3DC7" w:rsidRPr="008024EE" w:rsidRDefault="00CF3DC7" w:rsidP="00CF3DC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Figure 7</w:t>
      </w:r>
      <w:r w:rsidRPr="008024EE">
        <w:rPr>
          <w:rFonts w:asciiTheme="majorBidi" w:hAnsiTheme="majorBidi" w:cstheme="majorBidi"/>
          <w:b/>
          <w:bCs/>
          <w:sz w:val="24"/>
          <w:szCs w:val="24"/>
        </w:rPr>
        <w:t xml:space="preserve"> – Approche théorique de la répartition de ferrailles</w:t>
      </w:r>
    </w:p>
    <w:p w:rsidR="00CF3DC7" w:rsidRPr="008024EE" w:rsidRDefault="00CF3DC7" w:rsidP="00CF3DC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024EE">
        <w:rPr>
          <w:rFonts w:asciiTheme="majorBidi" w:hAnsiTheme="majorBidi" w:cstheme="majorBidi"/>
          <w:b/>
          <w:bCs/>
          <w:sz w:val="24"/>
          <w:szCs w:val="24"/>
        </w:rPr>
        <w:t>par filière de consommation</w:t>
      </w:r>
    </w:p>
    <w:p w:rsidR="00635921" w:rsidRPr="00CF3DC7" w:rsidRDefault="00635921" w:rsidP="00CF3DC7"/>
    <w:sectPr w:rsidR="00635921" w:rsidRPr="00CF3DC7" w:rsidSect="006D3C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9BB" w:rsidRDefault="000E59BB" w:rsidP="00A418BE">
      <w:pPr>
        <w:spacing w:after="0" w:line="240" w:lineRule="auto"/>
      </w:pPr>
      <w:r>
        <w:separator/>
      </w:r>
    </w:p>
  </w:endnote>
  <w:endnote w:type="continuationSeparator" w:id="1">
    <w:p w:rsidR="000E59BB" w:rsidRDefault="000E59BB" w:rsidP="00A4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6D3C4B">
      <w:tc>
        <w:tcPr>
          <w:tcW w:w="918" w:type="dxa"/>
        </w:tcPr>
        <w:p w:rsidR="006D3C4B" w:rsidRDefault="006D3C4B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Pr="006D3C4B">
              <w:rPr>
                <w:b/>
                <w:noProof/>
                <w:color w:val="4F81BD" w:themeColor="accent1"/>
                <w:sz w:val="32"/>
                <w:szCs w:val="32"/>
              </w:rPr>
              <w:t>18</w:t>
            </w:r>
          </w:fldSimple>
        </w:p>
      </w:tc>
      <w:tc>
        <w:tcPr>
          <w:tcW w:w="7938" w:type="dxa"/>
        </w:tcPr>
        <w:p w:rsidR="006D3C4B" w:rsidRDefault="006D3C4B">
          <w:pPr>
            <w:pStyle w:val="Pieddepage"/>
          </w:pPr>
        </w:p>
      </w:tc>
    </w:tr>
  </w:tbl>
  <w:p w:rsidR="004A247F" w:rsidRDefault="004A247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9BB" w:rsidRDefault="000E59BB" w:rsidP="00A418BE">
      <w:pPr>
        <w:spacing w:after="0" w:line="240" w:lineRule="auto"/>
      </w:pPr>
      <w:r>
        <w:separator/>
      </w:r>
    </w:p>
  </w:footnote>
  <w:footnote w:type="continuationSeparator" w:id="1">
    <w:p w:rsidR="000E59BB" w:rsidRDefault="000E59BB" w:rsidP="00A41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BE" w:rsidRPr="00DA7EAD" w:rsidRDefault="00A418BE" w:rsidP="00A418BE">
    <w:pPr>
      <w:pStyle w:val="En-tte"/>
      <w:jc w:val="center"/>
      <w:rPr>
        <w:rFonts w:asciiTheme="majorBidi" w:hAnsiTheme="majorBidi" w:cstheme="majorBidi"/>
        <w:sz w:val="20"/>
        <w:szCs w:val="20"/>
      </w:rPr>
    </w:pPr>
    <w:r w:rsidRPr="00DA7EAD">
      <w:rPr>
        <w:rFonts w:asciiTheme="majorBidi" w:hAnsiTheme="majorBidi" w:cstheme="majorBidi"/>
        <w:sz w:val="20"/>
        <w:szCs w:val="20"/>
      </w:rPr>
      <w:t>Recyclage et valorisation des matériaux</w:t>
    </w:r>
  </w:p>
  <w:p w:rsidR="00A418BE" w:rsidRPr="00DA7EAD" w:rsidRDefault="00A418BE" w:rsidP="00DA7EAD">
    <w:pPr>
      <w:pStyle w:val="En-tte"/>
      <w:pBdr>
        <w:bottom w:val="single" w:sz="4" w:space="1" w:color="auto"/>
      </w:pBdr>
      <w:jc w:val="center"/>
      <w:rPr>
        <w:rFonts w:asciiTheme="majorBidi" w:hAnsiTheme="majorBidi" w:cstheme="majorBidi"/>
        <w:sz w:val="20"/>
        <w:szCs w:val="20"/>
      </w:rPr>
    </w:pPr>
    <w:r w:rsidRPr="00DA7EAD">
      <w:rPr>
        <w:rFonts w:asciiTheme="majorBidi" w:hAnsiTheme="majorBidi" w:cstheme="majorBidi"/>
        <w:sz w:val="20"/>
        <w:szCs w:val="20"/>
      </w:rPr>
      <w:t xml:space="preserve">Partie </w:t>
    </w:r>
    <w:r w:rsidR="008C0286" w:rsidRPr="00DA7EAD">
      <w:rPr>
        <w:rFonts w:asciiTheme="majorBidi" w:hAnsiTheme="majorBidi" w:cstheme="majorBidi"/>
        <w:sz w:val="20"/>
        <w:szCs w:val="20"/>
      </w:rPr>
      <w:t>4. Semaine du 25</w:t>
    </w:r>
    <w:r w:rsidRPr="00DA7EAD">
      <w:rPr>
        <w:rFonts w:asciiTheme="majorBidi" w:hAnsiTheme="majorBidi" w:cstheme="majorBidi"/>
        <w:sz w:val="20"/>
        <w:szCs w:val="20"/>
      </w:rPr>
      <w:t>.04.20                                                                                    Recyclage des déchets ferreux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68D"/>
    <w:rsid w:val="000447AB"/>
    <w:rsid w:val="000E59BB"/>
    <w:rsid w:val="002F1FB2"/>
    <w:rsid w:val="00392649"/>
    <w:rsid w:val="00413C04"/>
    <w:rsid w:val="004A247F"/>
    <w:rsid w:val="00635921"/>
    <w:rsid w:val="006D3C4B"/>
    <w:rsid w:val="00740005"/>
    <w:rsid w:val="00753C91"/>
    <w:rsid w:val="00765126"/>
    <w:rsid w:val="00821AC0"/>
    <w:rsid w:val="008C0286"/>
    <w:rsid w:val="008E77C1"/>
    <w:rsid w:val="0094153F"/>
    <w:rsid w:val="0097037B"/>
    <w:rsid w:val="00A418BE"/>
    <w:rsid w:val="00B36296"/>
    <w:rsid w:val="00B71A96"/>
    <w:rsid w:val="00BF4207"/>
    <w:rsid w:val="00BF768D"/>
    <w:rsid w:val="00C17CB0"/>
    <w:rsid w:val="00CF3DC7"/>
    <w:rsid w:val="00DA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120" w:line="276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C1"/>
    <w:pPr>
      <w:spacing w:before="0" w:after="200"/>
      <w:ind w:left="0" w:firstLine="0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4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18B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4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18BE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53F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1680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2020-04-18T11:29:00Z</dcterms:created>
  <dcterms:modified xsi:type="dcterms:W3CDTF">2020-04-18T11:37:00Z</dcterms:modified>
</cp:coreProperties>
</file>