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28" w:rsidRDefault="00463F28" w:rsidP="00463F28">
      <w:pPr>
        <w:pStyle w:val="Heading1"/>
        <w:numPr>
          <w:ilvl w:val="2"/>
          <w:numId w:val="12"/>
        </w:numPr>
        <w:tabs>
          <w:tab w:val="left" w:pos="725"/>
        </w:tabs>
      </w:pPr>
      <w:r>
        <w:t>1.1.5 Les mesures de prévention et de contrôle du</w:t>
      </w:r>
      <w:r>
        <w:rPr>
          <w:spacing w:val="-15"/>
        </w:rPr>
        <w:t xml:space="preserve"> </w:t>
      </w:r>
      <w:r>
        <w:t>DMA</w:t>
      </w:r>
    </w:p>
    <w:p w:rsidR="00463F28" w:rsidRDefault="00463F28" w:rsidP="00463F28">
      <w:pPr>
        <w:pStyle w:val="Corpsdetexte"/>
        <w:spacing w:before="135" w:line="360" w:lineRule="auto"/>
        <w:ind w:left="122" w:right="135"/>
        <w:jc w:val="both"/>
      </w:pPr>
      <w:r>
        <w:t>Depuis quelques années, les recherches se sont surtout concentrées à approfondir les connaissances sur les causes, les réactions chimiques et, surtout, sur les mesures de prévention et de contrôle du DMA. La principale stratégie utilisée consiste à retirer l</w:t>
      </w:r>
      <w:r>
        <w:rPr>
          <w:rFonts w:ascii="Arial" w:hAnsi="Arial"/>
        </w:rPr>
        <w:t xml:space="preserve">’un des éléments </w:t>
      </w:r>
      <w:r>
        <w:t xml:space="preserve">nécessaires à la réaction, qui sont illustrés à la figure 2. En agissant ainsi, les exploitants réduisent considérablement la production de DMA </w:t>
      </w:r>
      <w:r>
        <w:rPr>
          <w:rFonts w:ascii="Arial" w:hAnsi="Arial"/>
        </w:rPr>
        <w:t xml:space="preserve">dans les aires d’accumulation des rejets </w:t>
      </w:r>
      <w:r>
        <w:t>miniers.</w:t>
      </w:r>
    </w:p>
    <w:p w:rsidR="00463F28" w:rsidRDefault="00463F28" w:rsidP="00463F28">
      <w:pPr>
        <w:pStyle w:val="Corpsdetexte"/>
        <w:rPr>
          <w:sz w:val="20"/>
        </w:rPr>
      </w:pPr>
    </w:p>
    <w:p w:rsidR="00463F28" w:rsidRDefault="00463F28" w:rsidP="00463F28">
      <w:pPr>
        <w:pStyle w:val="Corpsdetexte"/>
        <w:spacing w:before="2"/>
        <w:rPr>
          <w:sz w:val="21"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2645143</wp:posOffset>
            </wp:positionH>
            <wp:positionV relativeFrom="paragraph">
              <wp:posOffset>189309</wp:posOffset>
            </wp:positionV>
            <wp:extent cx="2080416" cy="1806035"/>
            <wp:effectExtent l="0" t="0" r="0" b="0"/>
            <wp:wrapTopAndBottom/>
            <wp:docPr id="17" name="image9.png" descr="C:\Users\Pascal\Dropbox\Essai\Chapitre\D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416" cy="180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F28" w:rsidRDefault="00463F28" w:rsidP="00463F28">
      <w:pPr>
        <w:pStyle w:val="Corpsdetexte"/>
        <w:spacing w:before="9"/>
        <w:rPr>
          <w:sz w:val="27"/>
        </w:rPr>
      </w:pPr>
    </w:p>
    <w:p w:rsidR="00463F28" w:rsidRDefault="00463F28" w:rsidP="00463F28">
      <w:pPr>
        <w:pStyle w:val="Heading1"/>
        <w:ind w:left="122" w:firstLine="0"/>
      </w:pPr>
      <w:bookmarkStart w:id="0" w:name="_bookmark37"/>
      <w:bookmarkEnd w:id="0"/>
      <w:r>
        <w:t>Figure .2 Éléments nécessaires au drainage minier acide</w:t>
      </w:r>
    </w:p>
    <w:p w:rsidR="00463F28" w:rsidRDefault="00463F28" w:rsidP="00463F28">
      <w:pPr>
        <w:pStyle w:val="Corpsdetexte"/>
        <w:rPr>
          <w:b/>
        </w:rPr>
      </w:pPr>
    </w:p>
    <w:p w:rsidR="00463F28" w:rsidRDefault="00463F28" w:rsidP="00463F28">
      <w:pPr>
        <w:pStyle w:val="Corpsdetexte"/>
        <w:spacing w:before="4"/>
        <w:rPr>
          <w:b/>
          <w:sz w:val="20"/>
        </w:rPr>
      </w:pPr>
    </w:p>
    <w:p w:rsidR="00463F28" w:rsidRDefault="00463F28" w:rsidP="00463F28">
      <w:pPr>
        <w:pStyle w:val="Corpsdetexte"/>
        <w:spacing w:line="364" w:lineRule="auto"/>
        <w:ind w:left="122" w:right="135"/>
        <w:jc w:val="both"/>
      </w:pPr>
      <w:r>
        <w:rPr>
          <w:rFonts w:ascii="Arial" w:hAnsi="Arial"/>
          <w:w w:val="95"/>
        </w:rPr>
        <w:t>L’une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des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techniques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disponibles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pour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prévenir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cette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production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acide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dans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les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rejets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miniers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 xml:space="preserve">est </w:t>
      </w:r>
      <w:r w:rsidRPr="00095523">
        <w:rPr>
          <w:b/>
          <w:bCs/>
        </w:rPr>
        <w:t>la désulfuration environnementale</w:t>
      </w:r>
      <w:r>
        <w:t>. La désulfuration réduit la quantité de sulfures dans les rejets de concentr</w:t>
      </w:r>
      <w:r>
        <w:rPr>
          <w:rFonts w:ascii="Arial" w:hAnsi="Arial"/>
        </w:rPr>
        <w:t xml:space="preserve">ateur pour que le potentiel d’acidification des rejets soit inférieur au potentiel de </w:t>
      </w:r>
      <w:r>
        <w:t>neutralisation (Bois et autres, 2004). La désulfuration est donc un procédé qui produit des rejets classés non-acidogènes et qui, conséquemment, rend leur gestion moins</w:t>
      </w:r>
      <w:r>
        <w:rPr>
          <w:spacing w:val="-15"/>
        </w:rPr>
        <w:t xml:space="preserve"> </w:t>
      </w:r>
      <w:r>
        <w:t>contraignante.</w:t>
      </w:r>
    </w:p>
    <w:p w:rsidR="00463F28" w:rsidRDefault="00463F28" w:rsidP="00463F28">
      <w:pPr>
        <w:pStyle w:val="Corpsdetexte"/>
        <w:spacing w:before="8"/>
        <w:rPr>
          <w:sz w:val="11"/>
        </w:rPr>
      </w:pPr>
    </w:p>
    <w:p w:rsidR="00463F28" w:rsidRDefault="00463F28" w:rsidP="00463F28">
      <w:pPr>
        <w:pStyle w:val="Corpsdetexte"/>
        <w:spacing w:before="9"/>
        <w:rPr>
          <w:sz w:val="32"/>
        </w:rPr>
      </w:pPr>
    </w:p>
    <w:p w:rsidR="00463F28" w:rsidRDefault="00C01F66" w:rsidP="00463F28">
      <w:pPr>
        <w:pStyle w:val="Corpsdetexte"/>
        <w:spacing w:before="1" w:line="374" w:lineRule="auto"/>
        <w:ind w:left="122" w:right="136"/>
        <w:jc w:val="both"/>
      </w:pPr>
      <w:r w:rsidRPr="00C01F66">
        <w:rPr>
          <w:rFonts w:ascii="Arial" w:hAnsi="Arial"/>
          <w:b/>
          <w:bCs/>
          <w:w w:val="95"/>
        </w:rPr>
        <w:t>L</w:t>
      </w:r>
      <w:r w:rsidR="00463F28" w:rsidRPr="00C01F66">
        <w:rPr>
          <w:rFonts w:ascii="Arial" w:hAnsi="Arial"/>
          <w:b/>
          <w:bCs/>
          <w:w w:val="95"/>
        </w:rPr>
        <w:t>’oxygène</w:t>
      </w:r>
      <w:r w:rsidR="00463F28">
        <w:rPr>
          <w:rFonts w:ascii="Arial" w:hAnsi="Arial"/>
          <w:spacing w:val="-6"/>
          <w:w w:val="95"/>
        </w:rPr>
        <w:t xml:space="preserve"> </w:t>
      </w:r>
      <w:r w:rsidR="00463F28">
        <w:rPr>
          <w:rFonts w:ascii="Arial" w:hAnsi="Arial"/>
          <w:w w:val="95"/>
        </w:rPr>
        <w:t>est</w:t>
      </w:r>
      <w:r w:rsidR="00463F28">
        <w:rPr>
          <w:rFonts w:ascii="Arial" w:hAnsi="Arial"/>
          <w:spacing w:val="-6"/>
          <w:w w:val="95"/>
        </w:rPr>
        <w:t xml:space="preserve"> </w:t>
      </w:r>
      <w:r w:rsidR="00463F28">
        <w:rPr>
          <w:rFonts w:ascii="Arial" w:hAnsi="Arial"/>
          <w:w w:val="95"/>
        </w:rPr>
        <w:t>l’un</w:t>
      </w:r>
      <w:r w:rsidR="00463F28">
        <w:rPr>
          <w:rFonts w:ascii="Arial" w:hAnsi="Arial"/>
          <w:spacing w:val="-6"/>
          <w:w w:val="95"/>
        </w:rPr>
        <w:t xml:space="preserve"> </w:t>
      </w:r>
      <w:r w:rsidR="00463F28">
        <w:rPr>
          <w:rFonts w:ascii="Arial" w:hAnsi="Arial"/>
          <w:w w:val="95"/>
        </w:rPr>
        <w:t>des</w:t>
      </w:r>
      <w:r w:rsidR="00463F28">
        <w:rPr>
          <w:rFonts w:ascii="Arial" w:hAnsi="Arial"/>
          <w:spacing w:val="-6"/>
          <w:w w:val="95"/>
        </w:rPr>
        <w:t xml:space="preserve"> </w:t>
      </w:r>
      <w:r w:rsidR="00463F28">
        <w:rPr>
          <w:rFonts w:ascii="Arial" w:hAnsi="Arial"/>
          <w:w w:val="95"/>
        </w:rPr>
        <w:t>trois</w:t>
      </w:r>
      <w:r w:rsidR="00463F28">
        <w:rPr>
          <w:rFonts w:ascii="Arial" w:hAnsi="Arial"/>
          <w:spacing w:val="-6"/>
          <w:w w:val="95"/>
        </w:rPr>
        <w:t xml:space="preserve"> </w:t>
      </w:r>
      <w:r w:rsidR="00463F28">
        <w:rPr>
          <w:rFonts w:ascii="Arial" w:hAnsi="Arial"/>
          <w:w w:val="95"/>
        </w:rPr>
        <w:t>éléments</w:t>
      </w:r>
      <w:r w:rsidR="00463F28">
        <w:rPr>
          <w:rFonts w:ascii="Arial" w:hAnsi="Arial"/>
          <w:spacing w:val="-6"/>
          <w:w w:val="95"/>
        </w:rPr>
        <w:t xml:space="preserve"> </w:t>
      </w:r>
      <w:r w:rsidR="00463F28">
        <w:rPr>
          <w:rFonts w:ascii="Arial" w:hAnsi="Arial"/>
          <w:w w:val="95"/>
        </w:rPr>
        <w:t>dans</w:t>
      </w:r>
      <w:r w:rsidR="00463F28">
        <w:rPr>
          <w:rFonts w:ascii="Arial" w:hAnsi="Arial"/>
          <w:spacing w:val="-6"/>
          <w:w w:val="95"/>
        </w:rPr>
        <w:t xml:space="preserve"> </w:t>
      </w:r>
      <w:r w:rsidR="00463F28">
        <w:rPr>
          <w:rFonts w:ascii="Arial" w:hAnsi="Arial"/>
          <w:w w:val="95"/>
        </w:rPr>
        <w:t>le</w:t>
      </w:r>
      <w:r w:rsidR="00463F28">
        <w:rPr>
          <w:rFonts w:ascii="Arial" w:hAnsi="Arial"/>
          <w:spacing w:val="-6"/>
          <w:w w:val="95"/>
        </w:rPr>
        <w:t xml:space="preserve"> </w:t>
      </w:r>
      <w:r w:rsidR="00463F28">
        <w:rPr>
          <w:rFonts w:ascii="Arial" w:hAnsi="Arial"/>
          <w:w w:val="95"/>
        </w:rPr>
        <w:t>processus</w:t>
      </w:r>
      <w:r w:rsidR="00463F28">
        <w:rPr>
          <w:rFonts w:ascii="Arial" w:hAnsi="Arial"/>
          <w:spacing w:val="-7"/>
          <w:w w:val="95"/>
        </w:rPr>
        <w:t xml:space="preserve"> </w:t>
      </w:r>
      <w:r w:rsidR="00463F28">
        <w:rPr>
          <w:rFonts w:ascii="Arial" w:hAnsi="Arial"/>
          <w:w w:val="95"/>
        </w:rPr>
        <w:t>d’oxydation,</w:t>
      </w:r>
      <w:r w:rsidR="00463F28">
        <w:rPr>
          <w:rFonts w:ascii="Arial" w:hAnsi="Arial"/>
          <w:spacing w:val="-6"/>
          <w:w w:val="95"/>
        </w:rPr>
        <w:t xml:space="preserve"> </w:t>
      </w:r>
      <w:r w:rsidR="00463F28">
        <w:rPr>
          <w:rFonts w:ascii="Arial" w:hAnsi="Arial"/>
          <w:w w:val="95"/>
        </w:rPr>
        <w:t>réduire</w:t>
      </w:r>
      <w:r w:rsidR="00463F28">
        <w:rPr>
          <w:rFonts w:ascii="Arial" w:hAnsi="Arial"/>
          <w:spacing w:val="-6"/>
          <w:w w:val="95"/>
        </w:rPr>
        <w:t xml:space="preserve"> </w:t>
      </w:r>
      <w:r w:rsidR="00463F28">
        <w:rPr>
          <w:rFonts w:ascii="Arial" w:hAnsi="Arial"/>
          <w:w w:val="95"/>
        </w:rPr>
        <w:t>son</w:t>
      </w:r>
      <w:r w:rsidR="00463F28">
        <w:rPr>
          <w:rFonts w:ascii="Arial" w:hAnsi="Arial"/>
          <w:spacing w:val="-7"/>
          <w:w w:val="95"/>
        </w:rPr>
        <w:t xml:space="preserve"> </w:t>
      </w:r>
      <w:r w:rsidR="00463F28">
        <w:rPr>
          <w:rFonts w:ascii="Arial" w:hAnsi="Arial"/>
          <w:w w:val="95"/>
        </w:rPr>
        <w:t xml:space="preserve">contact </w:t>
      </w:r>
      <w:r w:rsidR="00463F28">
        <w:rPr>
          <w:rFonts w:ascii="Arial" w:hAnsi="Arial"/>
        </w:rPr>
        <w:t>avec</w:t>
      </w:r>
      <w:r w:rsidR="00463F28">
        <w:rPr>
          <w:rFonts w:ascii="Arial" w:hAnsi="Arial"/>
          <w:spacing w:val="-27"/>
        </w:rPr>
        <w:t xml:space="preserve"> </w:t>
      </w:r>
      <w:r w:rsidR="00463F28">
        <w:rPr>
          <w:rFonts w:ascii="Arial" w:hAnsi="Arial"/>
        </w:rPr>
        <w:t>les</w:t>
      </w:r>
      <w:r w:rsidR="00463F28">
        <w:rPr>
          <w:rFonts w:ascii="Arial" w:hAnsi="Arial"/>
          <w:spacing w:val="-27"/>
        </w:rPr>
        <w:t xml:space="preserve"> </w:t>
      </w:r>
      <w:r w:rsidR="00463F28">
        <w:rPr>
          <w:rFonts w:ascii="Arial" w:hAnsi="Arial"/>
        </w:rPr>
        <w:t>résidus</w:t>
      </w:r>
      <w:r w:rsidR="00463F28">
        <w:rPr>
          <w:rFonts w:ascii="Arial" w:hAnsi="Arial"/>
          <w:spacing w:val="-27"/>
        </w:rPr>
        <w:t xml:space="preserve"> </w:t>
      </w:r>
      <w:r w:rsidR="00463F28">
        <w:rPr>
          <w:rFonts w:ascii="Arial" w:hAnsi="Arial"/>
        </w:rPr>
        <w:t>permet</w:t>
      </w:r>
      <w:r w:rsidR="00463F28">
        <w:rPr>
          <w:rFonts w:ascii="Arial" w:hAnsi="Arial"/>
          <w:spacing w:val="-27"/>
        </w:rPr>
        <w:t xml:space="preserve"> </w:t>
      </w:r>
      <w:r w:rsidR="00463F28">
        <w:rPr>
          <w:rFonts w:ascii="Arial" w:hAnsi="Arial"/>
        </w:rPr>
        <w:t>de</w:t>
      </w:r>
      <w:r w:rsidR="00463F28">
        <w:rPr>
          <w:rFonts w:ascii="Arial" w:hAnsi="Arial"/>
          <w:spacing w:val="-27"/>
        </w:rPr>
        <w:t xml:space="preserve"> </w:t>
      </w:r>
      <w:r w:rsidR="00463F28">
        <w:rPr>
          <w:rFonts w:ascii="Arial" w:hAnsi="Arial"/>
        </w:rPr>
        <w:t>limiter</w:t>
      </w:r>
      <w:r w:rsidR="00463F28">
        <w:rPr>
          <w:rFonts w:ascii="Arial" w:hAnsi="Arial"/>
          <w:spacing w:val="-27"/>
        </w:rPr>
        <w:t xml:space="preserve"> </w:t>
      </w:r>
      <w:r w:rsidR="00463F28">
        <w:rPr>
          <w:rFonts w:ascii="Arial" w:hAnsi="Arial"/>
        </w:rPr>
        <w:t>la</w:t>
      </w:r>
      <w:r w:rsidR="00463F28">
        <w:rPr>
          <w:rFonts w:ascii="Arial" w:hAnsi="Arial"/>
          <w:spacing w:val="-27"/>
        </w:rPr>
        <w:t xml:space="preserve"> </w:t>
      </w:r>
      <w:r w:rsidR="00463F28">
        <w:rPr>
          <w:rFonts w:ascii="Arial" w:hAnsi="Arial"/>
        </w:rPr>
        <w:t>production</w:t>
      </w:r>
      <w:r w:rsidR="00463F28">
        <w:rPr>
          <w:rFonts w:ascii="Arial" w:hAnsi="Arial"/>
          <w:spacing w:val="-27"/>
        </w:rPr>
        <w:t xml:space="preserve"> </w:t>
      </w:r>
      <w:r w:rsidR="00463F28">
        <w:rPr>
          <w:rFonts w:ascii="Arial" w:hAnsi="Arial"/>
        </w:rPr>
        <w:t>de</w:t>
      </w:r>
      <w:r w:rsidR="00463F28">
        <w:rPr>
          <w:rFonts w:ascii="Arial" w:hAnsi="Arial"/>
          <w:spacing w:val="-28"/>
        </w:rPr>
        <w:t xml:space="preserve"> </w:t>
      </w:r>
      <w:r w:rsidR="00463F28">
        <w:rPr>
          <w:rFonts w:ascii="Arial" w:hAnsi="Arial"/>
        </w:rPr>
        <w:t>rejets</w:t>
      </w:r>
      <w:r w:rsidR="00463F28">
        <w:rPr>
          <w:rFonts w:ascii="Arial" w:hAnsi="Arial"/>
          <w:spacing w:val="-27"/>
        </w:rPr>
        <w:t xml:space="preserve"> </w:t>
      </w:r>
      <w:r w:rsidR="00463F28">
        <w:rPr>
          <w:rFonts w:ascii="Arial" w:hAnsi="Arial"/>
        </w:rPr>
        <w:t>acides</w:t>
      </w:r>
      <w:r w:rsidR="00463F28">
        <w:rPr>
          <w:rFonts w:ascii="Arial" w:hAnsi="Arial"/>
          <w:spacing w:val="-27"/>
        </w:rPr>
        <w:t xml:space="preserve"> </w:t>
      </w:r>
      <w:r w:rsidR="00463F28">
        <w:rPr>
          <w:rFonts w:ascii="Arial" w:hAnsi="Arial"/>
        </w:rPr>
        <w:t>dans</w:t>
      </w:r>
      <w:r w:rsidR="00463F28">
        <w:rPr>
          <w:rFonts w:ascii="Arial" w:hAnsi="Arial"/>
          <w:spacing w:val="-27"/>
        </w:rPr>
        <w:t xml:space="preserve"> </w:t>
      </w:r>
      <w:r w:rsidR="00463F28">
        <w:rPr>
          <w:rFonts w:ascii="Arial" w:hAnsi="Arial"/>
        </w:rPr>
        <w:t>les</w:t>
      </w:r>
      <w:r w:rsidR="00463F28">
        <w:rPr>
          <w:rFonts w:ascii="Arial" w:hAnsi="Arial"/>
          <w:spacing w:val="-27"/>
        </w:rPr>
        <w:t xml:space="preserve"> </w:t>
      </w:r>
      <w:r w:rsidR="00463F28">
        <w:rPr>
          <w:rFonts w:ascii="Arial" w:hAnsi="Arial"/>
        </w:rPr>
        <w:t>aires</w:t>
      </w:r>
      <w:r w:rsidR="00463F28">
        <w:rPr>
          <w:rFonts w:ascii="Arial" w:hAnsi="Arial"/>
          <w:spacing w:val="-27"/>
        </w:rPr>
        <w:t xml:space="preserve"> </w:t>
      </w:r>
      <w:r w:rsidR="00463F28">
        <w:rPr>
          <w:rFonts w:ascii="Arial" w:hAnsi="Arial"/>
        </w:rPr>
        <w:t>d’accumulation. L’aménagement</w:t>
      </w:r>
      <w:r w:rsidR="00463F28">
        <w:rPr>
          <w:rFonts w:ascii="Arial" w:hAnsi="Arial"/>
          <w:spacing w:val="-43"/>
        </w:rPr>
        <w:t xml:space="preserve"> </w:t>
      </w:r>
      <w:r w:rsidR="00463F28">
        <w:rPr>
          <w:rFonts w:ascii="Arial" w:hAnsi="Arial"/>
        </w:rPr>
        <w:t>de</w:t>
      </w:r>
      <w:r w:rsidR="00463F28">
        <w:rPr>
          <w:rFonts w:ascii="Arial" w:hAnsi="Arial"/>
          <w:spacing w:val="-41"/>
        </w:rPr>
        <w:t xml:space="preserve"> </w:t>
      </w:r>
      <w:r w:rsidR="00463F28">
        <w:rPr>
          <w:rFonts w:ascii="Arial" w:hAnsi="Arial"/>
        </w:rPr>
        <w:t>barrières</w:t>
      </w:r>
      <w:r w:rsidR="00463F28">
        <w:rPr>
          <w:rFonts w:ascii="Arial" w:hAnsi="Arial"/>
          <w:spacing w:val="-42"/>
        </w:rPr>
        <w:t xml:space="preserve"> </w:t>
      </w:r>
      <w:r w:rsidR="00463F28">
        <w:rPr>
          <w:rFonts w:ascii="Arial" w:hAnsi="Arial"/>
        </w:rPr>
        <w:t>à</w:t>
      </w:r>
      <w:r w:rsidR="00463F28">
        <w:rPr>
          <w:rFonts w:ascii="Arial" w:hAnsi="Arial"/>
          <w:spacing w:val="-42"/>
        </w:rPr>
        <w:t xml:space="preserve"> </w:t>
      </w:r>
      <w:r w:rsidR="00463F28">
        <w:rPr>
          <w:rFonts w:ascii="Arial" w:hAnsi="Arial"/>
        </w:rPr>
        <w:t>oxygène</w:t>
      </w:r>
      <w:r w:rsidR="00463F28">
        <w:rPr>
          <w:rFonts w:ascii="Arial" w:hAnsi="Arial"/>
          <w:spacing w:val="-43"/>
        </w:rPr>
        <w:t xml:space="preserve"> </w:t>
      </w:r>
      <w:r w:rsidR="00463F28">
        <w:rPr>
          <w:rFonts w:ascii="Arial" w:hAnsi="Arial"/>
        </w:rPr>
        <w:t>est,</w:t>
      </w:r>
      <w:r w:rsidR="00463F28">
        <w:rPr>
          <w:rFonts w:ascii="Arial" w:hAnsi="Arial"/>
          <w:spacing w:val="-42"/>
        </w:rPr>
        <w:t xml:space="preserve"> </w:t>
      </w:r>
      <w:r w:rsidR="00463F28">
        <w:rPr>
          <w:rFonts w:ascii="Arial" w:hAnsi="Arial"/>
        </w:rPr>
        <w:t>dans</w:t>
      </w:r>
      <w:r w:rsidR="00463F28">
        <w:rPr>
          <w:rFonts w:ascii="Arial" w:hAnsi="Arial"/>
          <w:spacing w:val="-42"/>
        </w:rPr>
        <w:t xml:space="preserve"> </w:t>
      </w:r>
      <w:r w:rsidR="00463F28">
        <w:rPr>
          <w:rFonts w:ascii="Arial" w:hAnsi="Arial"/>
        </w:rPr>
        <w:t>un</w:t>
      </w:r>
      <w:r w:rsidR="00463F28">
        <w:rPr>
          <w:rFonts w:ascii="Arial" w:hAnsi="Arial"/>
          <w:spacing w:val="-43"/>
        </w:rPr>
        <w:t xml:space="preserve"> </w:t>
      </w:r>
      <w:r w:rsidR="00463F28">
        <w:rPr>
          <w:rFonts w:ascii="Arial" w:hAnsi="Arial"/>
        </w:rPr>
        <w:t>climat</w:t>
      </w:r>
      <w:r w:rsidR="00463F28">
        <w:rPr>
          <w:rFonts w:ascii="Arial" w:hAnsi="Arial"/>
          <w:spacing w:val="-41"/>
        </w:rPr>
        <w:t xml:space="preserve"> </w:t>
      </w:r>
      <w:r w:rsidR="00463F28">
        <w:rPr>
          <w:rFonts w:ascii="Arial" w:hAnsi="Arial"/>
        </w:rPr>
        <w:t>humide</w:t>
      </w:r>
      <w:r w:rsidR="00463F28">
        <w:rPr>
          <w:rFonts w:ascii="Arial" w:hAnsi="Arial"/>
          <w:spacing w:val="-41"/>
        </w:rPr>
        <w:t xml:space="preserve"> </w:t>
      </w:r>
      <w:r w:rsidR="00463F28">
        <w:t>comme</w:t>
      </w:r>
      <w:r w:rsidR="00463F28">
        <w:rPr>
          <w:spacing w:val="-31"/>
        </w:rPr>
        <w:t xml:space="preserve"> </w:t>
      </w:r>
      <w:r w:rsidR="00463F28">
        <w:t>le</w:t>
      </w:r>
      <w:r w:rsidR="00463F28">
        <w:rPr>
          <w:spacing w:val="-31"/>
        </w:rPr>
        <w:t xml:space="preserve"> </w:t>
      </w:r>
      <w:r w:rsidR="00463F28">
        <w:t>Québec,</w:t>
      </w:r>
      <w:r w:rsidR="00463F28">
        <w:rPr>
          <w:spacing w:val="-30"/>
        </w:rPr>
        <w:t xml:space="preserve"> </w:t>
      </w:r>
      <w:r w:rsidR="00463F28">
        <w:t>la</w:t>
      </w:r>
      <w:r w:rsidR="00463F28">
        <w:rPr>
          <w:spacing w:val="-31"/>
        </w:rPr>
        <w:t xml:space="preserve"> </w:t>
      </w:r>
      <w:r w:rsidR="00463F28">
        <w:t>méthode la plus efficace pour contrer le DMA (Union européenne,</w:t>
      </w:r>
      <w:r w:rsidR="00463F28">
        <w:rPr>
          <w:spacing w:val="-11"/>
        </w:rPr>
        <w:t xml:space="preserve"> </w:t>
      </w:r>
      <w:r w:rsidR="00463F28">
        <w:t>2003).</w:t>
      </w:r>
    </w:p>
    <w:p w:rsidR="00463F28" w:rsidRDefault="00463F28" w:rsidP="00463F28">
      <w:pPr>
        <w:spacing w:line="374" w:lineRule="auto"/>
        <w:jc w:val="both"/>
        <w:sectPr w:rsidR="00463F28">
          <w:pgSz w:w="12240" w:h="15840"/>
          <w:pgMar w:top="1500" w:right="1560" w:bottom="1180" w:left="1580" w:header="0" w:footer="988" w:gutter="0"/>
          <w:cols w:space="720"/>
        </w:sectPr>
      </w:pPr>
    </w:p>
    <w:p w:rsidR="00463F28" w:rsidRDefault="00463F28" w:rsidP="00463F28">
      <w:pPr>
        <w:pStyle w:val="Corpsdetexte"/>
        <w:spacing w:before="8"/>
        <w:rPr>
          <w:sz w:val="11"/>
        </w:rPr>
      </w:pPr>
    </w:p>
    <w:p w:rsidR="00463F28" w:rsidRDefault="00463F28" w:rsidP="00452C2F">
      <w:pPr>
        <w:pStyle w:val="Corpsdetexte"/>
        <w:spacing w:before="56" w:line="360" w:lineRule="auto"/>
        <w:ind w:left="122" w:right="136"/>
        <w:jc w:val="both"/>
      </w:pPr>
      <w:r w:rsidRPr="007E0B0E">
        <w:rPr>
          <w:b/>
          <w:bCs/>
        </w:rPr>
        <w:t>La couverture à effet de barrière capillaire</w:t>
      </w:r>
      <w:r>
        <w:t>, illustré à la figure 3, vise à aménager une couverture sur les rejets en plusieurs couches qui ont chacune un rôle spécifique (Cosset, 2009):</w:t>
      </w:r>
    </w:p>
    <w:p w:rsidR="00463F28" w:rsidRDefault="00463F28" w:rsidP="00463F28">
      <w:pPr>
        <w:pStyle w:val="Corpsdetexte"/>
        <w:spacing w:before="11"/>
        <w:rPr>
          <w:sz w:val="32"/>
        </w:rPr>
      </w:pPr>
    </w:p>
    <w:p w:rsidR="00463F28" w:rsidRDefault="00463F28" w:rsidP="00463F28">
      <w:pPr>
        <w:pStyle w:val="Paragraphedeliste"/>
        <w:numPr>
          <w:ilvl w:val="0"/>
          <w:numId w:val="10"/>
        </w:numPr>
        <w:tabs>
          <w:tab w:val="left" w:pos="841"/>
          <w:tab w:val="left" w:pos="842"/>
        </w:tabs>
        <w:spacing w:before="0" w:line="360" w:lineRule="auto"/>
        <w:ind w:left="841" w:right="138"/>
      </w:pPr>
      <w:r>
        <w:t>Couche</w:t>
      </w:r>
      <w:r>
        <w:rPr>
          <w:spacing w:val="1"/>
        </w:rPr>
        <w:t xml:space="preserve"> </w:t>
      </w:r>
      <w:r>
        <w:t>superficielle ou de surface</w:t>
      </w:r>
      <w:r>
        <w:rPr>
          <w:spacing w:val="2"/>
        </w:rPr>
        <w:t xml:space="preserve"> </w:t>
      </w:r>
      <w:r>
        <w:t>(A)</w:t>
      </w:r>
      <w:r>
        <w:rPr>
          <w:spacing w:val="-16"/>
        </w:rPr>
        <w:t xml:space="preserve"> </w:t>
      </w:r>
      <w:r>
        <w:rPr>
          <w:rFonts w:ascii="Arial" w:hAnsi="Arial"/>
        </w:rPr>
        <w:t>: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sert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à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absorber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l’humidité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à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croissance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 xml:space="preserve">des </w:t>
      </w:r>
      <w:r>
        <w:t>plantes lors de la</w:t>
      </w:r>
      <w:r>
        <w:rPr>
          <w:spacing w:val="-4"/>
        </w:rPr>
        <w:t xml:space="preserve"> </w:t>
      </w:r>
      <w:r>
        <w:t>revégétalisation;</w:t>
      </w:r>
    </w:p>
    <w:p w:rsidR="00463F28" w:rsidRDefault="00463F28" w:rsidP="00463F28">
      <w:pPr>
        <w:pStyle w:val="Paragraphedeliste"/>
        <w:numPr>
          <w:ilvl w:val="0"/>
          <w:numId w:val="10"/>
        </w:numPr>
        <w:tabs>
          <w:tab w:val="left" w:pos="841"/>
          <w:tab w:val="left" w:pos="842"/>
        </w:tabs>
        <w:spacing w:before="1"/>
        <w:ind w:hanging="361"/>
        <w:rPr>
          <w:rFonts w:ascii="Arial" w:hAnsi="Arial"/>
        </w:rPr>
      </w:pPr>
      <w:r>
        <w:t>Couche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(B)</w:t>
      </w:r>
      <w:r>
        <w:rPr>
          <w:spacing w:val="-6"/>
        </w:rPr>
        <w:t xml:space="preserve"> </w:t>
      </w:r>
      <w:r>
        <w:rPr>
          <w:rFonts w:ascii="Arial" w:hAnsi="Arial"/>
        </w:rPr>
        <w:t>: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protège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l’érosion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l’intrusion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biologique;</w:t>
      </w:r>
    </w:p>
    <w:p w:rsidR="00463F28" w:rsidRDefault="00463F28" w:rsidP="00463F28">
      <w:pPr>
        <w:pStyle w:val="Paragraphedeliste"/>
        <w:numPr>
          <w:ilvl w:val="0"/>
          <w:numId w:val="10"/>
        </w:numPr>
        <w:tabs>
          <w:tab w:val="left" w:pos="841"/>
          <w:tab w:val="left" w:pos="842"/>
        </w:tabs>
        <w:ind w:hanging="361"/>
        <w:rPr>
          <w:rFonts w:ascii="Arial" w:hAnsi="Arial"/>
        </w:rPr>
      </w:pPr>
      <w:r>
        <w:t>Couche</w:t>
      </w:r>
      <w:r>
        <w:rPr>
          <w:spacing w:val="-3"/>
        </w:rPr>
        <w:t xml:space="preserve"> </w:t>
      </w:r>
      <w:r>
        <w:t>drainante</w:t>
      </w:r>
      <w:r>
        <w:rPr>
          <w:spacing w:val="-1"/>
        </w:rPr>
        <w:t xml:space="preserve"> </w:t>
      </w:r>
      <w:r>
        <w:t>(C)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Arial" w:hAnsi="Arial"/>
        </w:rPr>
        <w:t>sert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à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l’évacuation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l’eau;</w:t>
      </w:r>
    </w:p>
    <w:p w:rsidR="00463F28" w:rsidRDefault="00463F28" w:rsidP="00463F28">
      <w:pPr>
        <w:pStyle w:val="Paragraphedeliste"/>
        <w:numPr>
          <w:ilvl w:val="0"/>
          <w:numId w:val="10"/>
        </w:numPr>
        <w:tabs>
          <w:tab w:val="left" w:pos="841"/>
          <w:tab w:val="left" w:pos="842"/>
        </w:tabs>
        <w:spacing w:before="134" w:line="364" w:lineRule="auto"/>
        <w:ind w:left="841" w:right="138"/>
        <w:rPr>
          <w:rFonts w:ascii="Arial" w:hAnsi="Arial"/>
        </w:rPr>
      </w:pPr>
      <w:r>
        <w:t xml:space="preserve">Couche de faible perméabilité (D) : cette couche forme le bris capillaire qui, en étant </w:t>
      </w:r>
      <w:r>
        <w:rPr>
          <w:rFonts w:ascii="Arial" w:hAnsi="Arial"/>
        </w:rPr>
        <w:t>saturé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d’eau,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empêche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l’oxygène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gazeux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pénétrer.</w:t>
      </w:r>
    </w:p>
    <w:p w:rsidR="00463F28" w:rsidRDefault="00463F28" w:rsidP="00463F28">
      <w:pPr>
        <w:pStyle w:val="Corpsdetexte"/>
        <w:rPr>
          <w:rFonts w:ascii="Arial"/>
        </w:rPr>
      </w:pPr>
    </w:p>
    <w:p w:rsidR="00463F28" w:rsidRDefault="00463F28" w:rsidP="00463F28">
      <w:pPr>
        <w:pStyle w:val="Corpsdetexte"/>
        <w:spacing w:before="162" w:line="360" w:lineRule="auto"/>
        <w:ind w:left="122" w:right="132"/>
        <w:jc w:val="both"/>
      </w:pPr>
      <w:r>
        <w:t xml:space="preserve">Le nombre de couches mis en place et leur composition dépendent des caractéristiques des matériaux utilisés. Dans certains cas, une couverture réductrice composée de matières organiques </w:t>
      </w:r>
      <w:r>
        <w:rPr>
          <w:rFonts w:ascii="Arial" w:hAnsi="Arial"/>
        </w:rPr>
        <w:t>peut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aussi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être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utilisée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afin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que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l’oxygène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soit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consommé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avant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d’atte</w:t>
      </w:r>
      <w:r>
        <w:t>indre</w:t>
      </w:r>
      <w:r>
        <w:rPr>
          <w:spacing w:val="-20"/>
        </w:rPr>
        <w:t xml:space="preserve"> </w:t>
      </w:r>
      <w:r>
        <w:t>les</w:t>
      </w:r>
      <w:r>
        <w:rPr>
          <w:spacing w:val="-20"/>
        </w:rPr>
        <w:t xml:space="preserve"> </w:t>
      </w:r>
      <w:r>
        <w:t>rejets</w:t>
      </w:r>
      <w:r>
        <w:rPr>
          <w:spacing w:val="-21"/>
        </w:rPr>
        <w:t xml:space="preserve"> </w:t>
      </w:r>
      <w:r>
        <w:t>(Mermillod- Blondin,</w:t>
      </w:r>
      <w:r>
        <w:rPr>
          <w:spacing w:val="-1"/>
        </w:rPr>
        <w:t xml:space="preserve"> </w:t>
      </w:r>
      <w:r>
        <w:t>2006).</w:t>
      </w:r>
    </w:p>
    <w:p w:rsidR="00463F28" w:rsidRDefault="00463F28" w:rsidP="00463F28">
      <w:pPr>
        <w:pStyle w:val="Corpsdetexte"/>
        <w:rPr>
          <w:sz w:val="20"/>
        </w:rPr>
      </w:pPr>
    </w:p>
    <w:p w:rsidR="00463F28" w:rsidRDefault="00463F28" w:rsidP="00463F28">
      <w:pPr>
        <w:pStyle w:val="Corpsdetexte"/>
        <w:rPr>
          <w:sz w:val="10"/>
        </w:rPr>
      </w:pPr>
      <w:r>
        <w:rPr>
          <w:noProof/>
          <w:lang w:eastAsia="fr-F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102723</wp:posOffset>
            </wp:positionV>
            <wp:extent cx="3202233" cy="2556605"/>
            <wp:effectExtent l="0" t="0" r="0" b="0"/>
            <wp:wrapTopAndBottom/>
            <wp:docPr id="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233" cy="255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F28" w:rsidRDefault="00463F28" w:rsidP="007E0B0E">
      <w:pPr>
        <w:spacing w:before="97"/>
        <w:ind w:left="122"/>
        <w:jc w:val="both"/>
      </w:pPr>
      <w:bookmarkStart w:id="1" w:name="_bookmark38"/>
      <w:bookmarkEnd w:id="1"/>
      <w:r>
        <w:rPr>
          <w:b/>
        </w:rPr>
        <w:t xml:space="preserve">Figure 3 </w:t>
      </w:r>
      <w:r>
        <w:rPr>
          <w:rFonts w:ascii="Arial" w:hAnsi="Arial"/>
          <w:b/>
        </w:rPr>
        <w:t xml:space="preserve">Structure d’une couverture à barrière capillaire </w:t>
      </w:r>
      <w:r>
        <w:t>(tiré de : Aubertin et autres, 1995)</w:t>
      </w:r>
    </w:p>
    <w:p w:rsidR="00463F28" w:rsidRDefault="00463F28" w:rsidP="00463F28">
      <w:pPr>
        <w:pStyle w:val="Corpsdetexte"/>
      </w:pPr>
    </w:p>
    <w:p w:rsidR="00463F28" w:rsidRDefault="00463F28" w:rsidP="00463F28">
      <w:pPr>
        <w:pStyle w:val="Corpsdetexte"/>
        <w:spacing w:before="1"/>
      </w:pPr>
    </w:p>
    <w:p w:rsidR="00463F28" w:rsidRDefault="00463F28" w:rsidP="00691E17">
      <w:pPr>
        <w:pStyle w:val="Corpsdetexte"/>
        <w:spacing w:line="372" w:lineRule="auto"/>
        <w:ind w:left="122" w:right="135"/>
        <w:jc w:val="both"/>
        <w:rPr>
          <w:rFonts w:ascii="Arial" w:hAnsi="Arial"/>
        </w:rPr>
      </w:pPr>
      <w:r w:rsidRPr="007E0B0E">
        <w:rPr>
          <w:b/>
          <w:bCs/>
        </w:rPr>
        <w:t>Le recouvrement en eau des rejets miniers</w:t>
      </w:r>
      <w:r>
        <w:t xml:space="preserve"> peut être une autre approche pour </w:t>
      </w:r>
      <w:r>
        <w:rPr>
          <w:rFonts w:ascii="Arial" w:hAnsi="Arial"/>
        </w:rPr>
        <w:t>limiter l’apport en oxygène.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recouvrement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d’eau,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dont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l’épaisseur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dépend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des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conditions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climatiques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 xml:space="preserve">des </w:t>
      </w:r>
      <w:r>
        <w:t>caractéristiques des rejets miniers (Mermillod-Blondin, 2006), permet de</w:t>
      </w:r>
      <w:r>
        <w:rPr>
          <w:spacing w:val="2"/>
        </w:rPr>
        <w:t xml:space="preserve"> </w:t>
      </w:r>
      <w:r>
        <w:t>réduire</w:t>
      </w:r>
      <w:r w:rsidR="00691E17">
        <w:t xml:space="preserve"> </w:t>
      </w:r>
      <w:r>
        <w:rPr>
          <w:rFonts w:ascii="Arial" w:hAnsi="Arial"/>
        </w:rPr>
        <w:t>considérablement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diffusion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l’oxygène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: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dans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l’eau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stagnante</w:t>
      </w:r>
      <w:r>
        <w:t>,</w:t>
      </w:r>
      <w:r>
        <w:rPr>
          <w:spacing w:val="-11"/>
        </w:rPr>
        <w:t xml:space="preserve"> </w:t>
      </w:r>
      <w:r>
        <w:t>elle</w:t>
      </w:r>
      <w:r>
        <w:rPr>
          <w:spacing w:val="-12"/>
        </w:rPr>
        <w:t xml:space="preserve"> </w:t>
      </w:r>
      <w:r>
        <w:t>est</w:t>
      </w:r>
      <w:r>
        <w:rPr>
          <w:spacing w:val="-12"/>
        </w:rPr>
        <w:t xml:space="preserve"> </w:t>
      </w:r>
      <w:r>
        <w:t>10</w:t>
      </w:r>
      <w:r>
        <w:rPr>
          <w:spacing w:val="-22"/>
        </w:rPr>
        <w:t xml:space="preserve"> </w:t>
      </w:r>
      <w:r>
        <w:t>000</w:t>
      </w:r>
      <w:r>
        <w:rPr>
          <w:spacing w:val="-10"/>
        </w:rPr>
        <w:t xml:space="preserve"> </w:t>
      </w:r>
      <w:r>
        <w:t>fois</w:t>
      </w:r>
      <w:r>
        <w:rPr>
          <w:spacing w:val="-11"/>
        </w:rPr>
        <w:t xml:space="preserve"> </w:t>
      </w:r>
      <w:r>
        <w:t>plus</w:t>
      </w:r>
      <w:r>
        <w:rPr>
          <w:spacing w:val="-10"/>
        </w:rPr>
        <w:t xml:space="preserve"> </w:t>
      </w:r>
      <w:r>
        <w:t xml:space="preserve">faible </w:t>
      </w:r>
      <w:r>
        <w:rPr>
          <w:rFonts w:ascii="Arial" w:hAnsi="Arial"/>
        </w:rPr>
        <w:t>que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dans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l’air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(Aubertin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autres,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2002b).</w:t>
      </w:r>
    </w:p>
    <w:p w:rsidR="00463F28" w:rsidRDefault="00463F28" w:rsidP="00463F28">
      <w:pPr>
        <w:pStyle w:val="Corpsdetexte"/>
        <w:rPr>
          <w:rFonts w:ascii="Arial"/>
        </w:rPr>
      </w:pPr>
    </w:p>
    <w:p w:rsidR="00691E17" w:rsidRDefault="00691E17" w:rsidP="00463F28">
      <w:pPr>
        <w:pStyle w:val="Corpsdetexte"/>
        <w:spacing w:before="170" w:line="379" w:lineRule="auto"/>
        <w:ind w:left="122" w:right="133"/>
        <w:jc w:val="both"/>
        <w:rPr>
          <w:rFonts w:ascii="Arial" w:hAnsi="Arial"/>
        </w:rPr>
      </w:pPr>
    </w:p>
    <w:p w:rsidR="00691E17" w:rsidRDefault="00691E17" w:rsidP="00463F28">
      <w:pPr>
        <w:pStyle w:val="Corpsdetexte"/>
        <w:spacing w:before="170" w:line="379" w:lineRule="auto"/>
        <w:ind w:left="122" w:right="133"/>
        <w:jc w:val="both"/>
        <w:rPr>
          <w:rFonts w:ascii="Arial" w:hAnsi="Arial"/>
        </w:rPr>
      </w:pPr>
    </w:p>
    <w:p w:rsidR="00691E17" w:rsidRDefault="00691E17" w:rsidP="00463F28">
      <w:pPr>
        <w:pStyle w:val="Corpsdetexte"/>
        <w:spacing w:before="170" w:line="379" w:lineRule="auto"/>
        <w:ind w:left="122" w:right="133"/>
        <w:jc w:val="both"/>
        <w:rPr>
          <w:rFonts w:ascii="Arial" w:hAnsi="Arial"/>
        </w:rPr>
      </w:pPr>
    </w:p>
    <w:p w:rsidR="00463F28" w:rsidRDefault="00463F28" w:rsidP="00130A78">
      <w:pPr>
        <w:pStyle w:val="Corpsdetexte"/>
        <w:spacing w:before="170" w:line="379" w:lineRule="auto"/>
        <w:ind w:left="122" w:right="133"/>
        <w:jc w:val="both"/>
      </w:pPr>
      <w:r w:rsidRPr="00691E17">
        <w:rPr>
          <w:rFonts w:ascii="Arial" w:hAnsi="Arial"/>
          <w:b/>
          <w:bCs/>
        </w:rPr>
        <w:lastRenderedPageBreak/>
        <w:t>Le</w:t>
      </w:r>
      <w:r w:rsidRPr="00691E17">
        <w:rPr>
          <w:rFonts w:ascii="Arial" w:hAnsi="Arial"/>
          <w:b/>
          <w:bCs/>
          <w:spacing w:val="-32"/>
        </w:rPr>
        <w:t xml:space="preserve"> </w:t>
      </w:r>
      <w:r w:rsidRPr="00691E17">
        <w:rPr>
          <w:rFonts w:ascii="Arial" w:hAnsi="Arial"/>
          <w:b/>
          <w:bCs/>
        </w:rPr>
        <w:t>troisième</w:t>
      </w:r>
      <w:r w:rsidRPr="00691E17">
        <w:rPr>
          <w:rFonts w:ascii="Arial" w:hAnsi="Arial"/>
          <w:b/>
          <w:bCs/>
          <w:spacing w:val="-31"/>
        </w:rPr>
        <w:t xml:space="preserve"> </w:t>
      </w:r>
      <w:r w:rsidRPr="00691E17">
        <w:rPr>
          <w:rFonts w:ascii="Arial" w:hAnsi="Arial"/>
          <w:b/>
          <w:bCs/>
        </w:rPr>
        <w:t>élément</w:t>
      </w:r>
      <w:r w:rsidRPr="00691E17">
        <w:rPr>
          <w:rFonts w:ascii="Arial" w:hAnsi="Arial"/>
          <w:b/>
          <w:bCs/>
          <w:spacing w:val="-31"/>
        </w:rPr>
        <w:t xml:space="preserve"> </w:t>
      </w:r>
      <w:r w:rsidRPr="00691E17">
        <w:rPr>
          <w:rFonts w:ascii="Arial" w:hAnsi="Arial"/>
          <w:b/>
          <w:bCs/>
        </w:rPr>
        <w:t>qui</w:t>
      </w:r>
      <w:r w:rsidRPr="00691E17">
        <w:rPr>
          <w:rFonts w:ascii="Arial" w:hAnsi="Arial"/>
          <w:b/>
          <w:bCs/>
          <w:spacing w:val="-33"/>
        </w:rPr>
        <w:t xml:space="preserve"> </w:t>
      </w:r>
      <w:r w:rsidRPr="00691E17">
        <w:rPr>
          <w:rFonts w:ascii="Arial" w:hAnsi="Arial"/>
          <w:b/>
          <w:bCs/>
        </w:rPr>
        <w:t>contribue</w:t>
      </w:r>
      <w:r w:rsidRPr="00691E17">
        <w:rPr>
          <w:rFonts w:ascii="Arial" w:hAnsi="Arial"/>
          <w:b/>
          <w:bCs/>
          <w:spacing w:val="-31"/>
        </w:rPr>
        <w:t xml:space="preserve"> </w:t>
      </w:r>
      <w:r w:rsidRPr="00691E17">
        <w:rPr>
          <w:rFonts w:ascii="Arial" w:hAnsi="Arial"/>
          <w:b/>
          <w:bCs/>
        </w:rPr>
        <w:t>au</w:t>
      </w:r>
      <w:r w:rsidRPr="00691E17">
        <w:rPr>
          <w:rFonts w:ascii="Arial" w:hAnsi="Arial"/>
          <w:b/>
          <w:bCs/>
          <w:spacing w:val="-33"/>
        </w:rPr>
        <w:t xml:space="preserve"> </w:t>
      </w:r>
      <w:r w:rsidRPr="00691E17">
        <w:rPr>
          <w:rFonts w:ascii="Arial" w:hAnsi="Arial"/>
          <w:b/>
          <w:bCs/>
        </w:rPr>
        <w:t>DMA</w:t>
      </w:r>
      <w:r w:rsidRPr="00691E17">
        <w:rPr>
          <w:rFonts w:ascii="Arial" w:hAnsi="Arial"/>
          <w:b/>
          <w:bCs/>
          <w:spacing w:val="-31"/>
        </w:rPr>
        <w:t xml:space="preserve"> </w:t>
      </w:r>
      <w:r w:rsidRPr="00691E17">
        <w:rPr>
          <w:rFonts w:ascii="Arial" w:hAnsi="Arial"/>
          <w:b/>
          <w:bCs/>
        </w:rPr>
        <w:t>est</w:t>
      </w:r>
      <w:r w:rsidRPr="00691E17">
        <w:rPr>
          <w:rFonts w:ascii="Arial" w:hAnsi="Arial"/>
          <w:b/>
          <w:bCs/>
          <w:spacing w:val="-32"/>
        </w:rPr>
        <w:t xml:space="preserve"> </w:t>
      </w:r>
      <w:r w:rsidRPr="00691E17">
        <w:rPr>
          <w:rFonts w:ascii="Arial" w:hAnsi="Arial"/>
          <w:b/>
          <w:bCs/>
        </w:rPr>
        <w:t>l’eau</w:t>
      </w:r>
      <w:r>
        <w:rPr>
          <w:rFonts w:ascii="Arial" w:hAnsi="Arial"/>
        </w:rPr>
        <w:t>.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imperméabilisant,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avec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des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matériaux naturels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ou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synthétiques,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les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cellules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d’enfouissement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des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résidus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miniers,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on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empêche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 xml:space="preserve">l’eau d’atteindre les rejets contaminés ou, lorsque les résidus contiennent toujours de l’eau, d’empêcher cette eau de rejoindre l’environnement. </w:t>
      </w:r>
    </w:p>
    <w:p w:rsidR="00BD7DC3" w:rsidRPr="00463F28" w:rsidRDefault="00BD7DC3" w:rsidP="00463F28">
      <w:pPr>
        <w:rPr>
          <w:szCs w:val="24"/>
        </w:rPr>
      </w:pPr>
    </w:p>
    <w:sectPr w:rsidR="00BD7DC3" w:rsidRPr="00463F28" w:rsidSect="003746BB">
      <w:headerReference w:type="default" r:id="rId9"/>
      <w:footerReference w:type="default" r:id="rId10"/>
      <w:pgSz w:w="11900" w:h="16840"/>
      <w:pgMar w:top="619" w:right="1020" w:bottom="371" w:left="940" w:header="0" w:footer="0" w:gutter="0"/>
      <w:cols w:space="0" w:equalWidth="0">
        <w:col w:w="99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1EF" w:rsidRDefault="009F41EF" w:rsidP="00F4579D">
      <w:r>
        <w:separator/>
      </w:r>
    </w:p>
  </w:endnote>
  <w:endnote w:type="continuationSeparator" w:id="1">
    <w:p w:rsidR="009F41EF" w:rsidRDefault="009F41EF" w:rsidP="00F45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EA" w:rsidRDefault="000D0E35">
    <w:pPr>
      <w:pStyle w:val="Corpsdetexte"/>
      <w:spacing w:line="14" w:lineRule="auto"/>
      <w:rPr>
        <w:sz w:val="20"/>
      </w:rPr>
    </w:pPr>
    <w:r w:rsidRPr="000D0E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97.4pt;margin-top:731.6pt;width:17.3pt;height:13.05pt;z-index:-251658240;mso-position-horizontal-relative:page;mso-position-vertical-relative:page" filled="f" stroked="f">
          <v:textbox inset="0,0,0,0">
            <w:txbxContent>
              <w:p w:rsidR="00EE53EA" w:rsidRDefault="000D0E35">
                <w:pPr>
                  <w:pStyle w:val="Corpsdetexte"/>
                  <w:spacing w:line="245" w:lineRule="exact"/>
                  <w:ind w:left="60"/>
                </w:pPr>
                <w:r>
                  <w:fldChar w:fldCharType="begin"/>
                </w:r>
                <w:r w:rsidR="002441B9">
                  <w:instrText xml:space="preserve"> PAGE </w:instrText>
                </w:r>
                <w:r>
                  <w:fldChar w:fldCharType="separate"/>
                </w:r>
                <w:r w:rsidR="00130A78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1EF" w:rsidRDefault="009F41EF" w:rsidP="00F4579D">
      <w:r>
        <w:separator/>
      </w:r>
    </w:p>
  </w:footnote>
  <w:footnote w:type="continuationSeparator" w:id="1">
    <w:p w:rsidR="009F41EF" w:rsidRDefault="009F41EF" w:rsidP="00F45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4A8" w:rsidRDefault="005F24A8" w:rsidP="005F24A8">
    <w:pPr>
      <w:spacing w:line="360" w:lineRule="auto"/>
      <w:ind w:right="340"/>
      <w:jc w:val="both"/>
      <w:rPr>
        <w:rFonts w:asciiTheme="majorHAnsi" w:eastAsia="Arial" w:hAnsiTheme="majorHAnsi"/>
        <w:sz w:val="18"/>
        <w:szCs w:val="18"/>
      </w:rPr>
    </w:pPr>
  </w:p>
  <w:p w:rsidR="005F24A8" w:rsidRPr="005F24A8" w:rsidRDefault="00F4579D" w:rsidP="005F24A8">
    <w:pPr>
      <w:spacing w:line="360" w:lineRule="auto"/>
      <w:ind w:right="340"/>
      <w:jc w:val="center"/>
      <w:rPr>
        <w:rFonts w:asciiTheme="majorHAnsi" w:eastAsia="Arial" w:hAnsiTheme="majorHAnsi"/>
        <w:b/>
        <w:sz w:val="18"/>
        <w:szCs w:val="18"/>
      </w:rPr>
    </w:pPr>
    <w:r w:rsidRPr="005F24A8">
      <w:rPr>
        <w:rFonts w:asciiTheme="majorHAnsi" w:eastAsia="Times New Roman" w:hAnsiTheme="majorHAnsi"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615950</wp:posOffset>
          </wp:positionH>
          <wp:positionV relativeFrom="page">
            <wp:posOffset>393065</wp:posOffset>
          </wp:positionV>
          <wp:extent cx="6297295" cy="478790"/>
          <wp:effectExtent l="19050" t="0" r="8255" b="0"/>
          <wp:wrapNone/>
          <wp:docPr id="2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295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F24A8">
      <w:rPr>
        <w:rFonts w:asciiTheme="majorHAnsi" w:eastAsia="Arial" w:hAnsiTheme="majorHAnsi"/>
        <w:sz w:val="18"/>
        <w:szCs w:val="18"/>
      </w:rPr>
      <w:t>Cours de Réhabilitation des sites miniers</w:t>
    </w:r>
    <w:r w:rsidR="005F24A8">
      <w:rPr>
        <w:rFonts w:asciiTheme="majorHAnsi" w:eastAsia="Arial" w:hAnsiTheme="majorHAnsi"/>
        <w:sz w:val="18"/>
        <w:szCs w:val="18"/>
      </w:rPr>
      <w:t xml:space="preserve">                                           </w:t>
    </w:r>
    <w:r w:rsidR="005F24A8" w:rsidRPr="005F24A8">
      <w:rPr>
        <w:rFonts w:asciiTheme="majorHAnsi" w:eastAsia="Arial" w:hAnsiTheme="majorHAnsi"/>
        <w:b/>
        <w:sz w:val="18"/>
        <w:szCs w:val="18"/>
      </w:rPr>
      <w:t xml:space="preserve"> Dépollution et confinement des rejets miniers</w:t>
    </w:r>
  </w:p>
  <w:p w:rsidR="00F4579D" w:rsidRPr="00C5557B" w:rsidRDefault="00F4579D" w:rsidP="00F4579D">
    <w:pPr>
      <w:spacing w:line="360" w:lineRule="auto"/>
      <w:ind w:left="360"/>
      <w:jc w:val="both"/>
      <w:rPr>
        <w:rFonts w:asciiTheme="majorHAnsi" w:eastAsia="Arial" w:hAnsiTheme="majorHAnsi"/>
        <w:sz w:val="24"/>
        <w:szCs w:val="24"/>
      </w:rPr>
    </w:pPr>
  </w:p>
  <w:p w:rsidR="00F4579D" w:rsidRPr="00C5557B" w:rsidRDefault="00F4579D" w:rsidP="00F4579D">
    <w:pPr>
      <w:spacing w:line="360" w:lineRule="auto"/>
      <w:jc w:val="both"/>
      <w:rPr>
        <w:rFonts w:asciiTheme="majorHAnsi" w:eastAsia="Times New Roman" w:hAnsiTheme="majorHAnsi"/>
        <w:sz w:val="24"/>
        <w:szCs w:val="24"/>
      </w:rPr>
    </w:pPr>
  </w:p>
  <w:p w:rsidR="00F4579D" w:rsidRDefault="00F4579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4DB127F8"/>
    <w:lvl w:ilvl="0" w:tplc="FFFFFFFF">
      <w:start w:val="1"/>
      <w:numFmt w:val="bullet"/>
      <w:lvlText w:val="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0216231A"/>
    <w:lvl w:ilvl="0" w:tplc="FFFFFFFF">
      <w:start w:val="1"/>
      <w:numFmt w:val="bullet"/>
      <w:lvlText w:val="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1F16E9E8"/>
    <w:lvl w:ilvl="0" w:tplc="FFFFFFFF">
      <w:start w:val="1"/>
      <w:numFmt w:val="bullet"/>
      <w:lvlText w:val="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1190CDE6"/>
    <w:lvl w:ilvl="0" w:tplc="FFFFFFFF">
      <w:start w:val="1"/>
      <w:numFmt w:val="bullet"/>
      <w:lvlText w:val="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66EF438C"/>
    <w:lvl w:ilvl="0" w:tplc="FFFFFFFF">
      <w:start w:val="1"/>
      <w:numFmt w:val="bullet"/>
      <w:lvlText w:val="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B"/>
    <w:multiLevelType w:val="hybridMultilevel"/>
    <w:tmpl w:val="140E0F76"/>
    <w:lvl w:ilvl="0" w:tplc="FFFFFFFF">
      <w:start w:val="1"/>
      <w:numFmt w:val="bullet"/>
      <w:lvlText w:val="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109CF92E"/>
    <w:lvl w:ilvl="0" w:tplc="FFFFFFFF">
      <w:start w:val="1"/>
      <w:numFmt w:val="bullet"/>
      <w:lvlText w:val="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E"/>
    <w:multiLevelType w:val="hybridMultilevel"/>
    <w:tmpl w:val="0DED7262"/>
    <w:lvl w:ilvl="0" w:tplc="FFFFFFFF">
      <w:start w:val="1"/>
      <w:numFmt w:val="bullet"/>
      <w:lvlText w:val="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E8E224D"/>
    <w:multiLevelType w:val="hybridMultilevel"/>
    <w:tmpl w:val="46628EBC"/>
    <w:lvl w:ilvl="0" w:tplc="5218E392">
      <w:numFmt w:val="bullet"/>
      <w:lvlText w:val="-"/>
      <w:lvlJc w:val="left"/>
      <w:pPr>
        <w:ind w:left="842" w:hanging="360"/>
      </w:pPr>
      <w:rPr>
        <w:rFonts w:ascii="Carlito" w:eastAsia="Carlito" w:hAnsi="Carlito" w:cs="Carlito" w:hint="default"/>
        <w:w w:val="100"/>
        <w:sz w:val="22"/>
        <w:szCs w:val="22"/>
        <w:lang w:val="fr-FR" w:eastAsia="en-US" w:bidi="ar-SA"/>
      </w:rPr>
    </w:lvl>
    <w:lvl w:ilvl="1" w:tplc="F9D8859A">
      <w:numFmt w:val="bullet"/>
      <w:lvlText w:val="•"/>
      <w:lvlJc w:val="left"/>
      <w:pPr>
        <w:ind w:left="1666" w:hanging="360"/>
      </w:pPr>
      <w:rPr>
        <w:rFonts w:hint="default"/>
        <w:lang w:val="fr-FR" w:eastAsia="en-US" w:bidi="ar-SA"/>
      </w:rPr>
    </w:lvl>
    <w:lvl w:ilvl="2" w:tplc="CB1697D6">
      <w:numFmt w:val="bullet"/>
      <w:lvlText w:val="•"/>
      <w:lvlJc w:val="left"/>
      <w:pPr>
        <w:ind w:left="2492" w:hanging="360"/>
      </w:pPr>
      <w:rPr>
        <w:rFonts w:hint="default"/>
        <w:lang w:val="fr-FR" w:eastAsia="en-US" w:bidi="ar-SA"/>
      </w:rPr>
    </w:lvl>
    <w:lvl w:ilvl="3" w:tplc="972AA106">
      <w:numFmt w:val="bullet"/>
      <w:lvlText w:val="•"/>
      <w:lvlJc w:val="left"/>
      <w:pPr>
        <w:ind w:left="3318" w:hanging="360"/>
      </w:pPr>
      <w:rPr>
        <w:rFonts w:hint="default"/>
        <w:lang w:val="fr-FR" w:eastAsia="en-US" w:bidi="ar-SA"/>
      </w:rPr>
    </w:lvl>
    <w:lvl w:ilvl="4" w:tplc="0A5A884E">
      <w:numFmt w:val="bullet"/>
      <w:lvlText w:val="•"/>
      <w:lvlJc w:val="left"/>
      <w:pPr>
        <w:ind w:left="4144" w:hanging="360"/>
      </w:pPr>
      <w:rPr>
        <w:rFonts w:hint="default"/>
        <w:lang w:val="fr-FR" w:eastAsia="en-US" w:bidi="ar-SA"/>
      </w:rPr>
    </w:lvl>
    <w:lvl w:ilvl="5" w:tplc="7E4CB9C6">
      <w:numFmt w:val="bullet"/>
      <w:lvlText w:val="•"/>
      <w:lvlJc w:val="left"/>
      <w:pPr>
        <w:ind w:left="4970" w:hanging="360"/>
      </w:pPr>
      <w:rPr>
        <w:rFonts w:hint="default"/>
        <w:lang w:val="fr-FR" w:eastAsia="en-US" w:bidi="ar-SA"/>
      </w:rPr>
    </w:lvl>
    <w:lvl w:ilvl="6" w:tplc="81A04BD2">
      <w:numFmt w:val="bullet"/>
      <w:lvlText w:val="•"/>
      <w:lvlJc w:val="left"/>
      <w:pPr>
        <w:ind w:left="5796" w:hanging="360"/>
      </w:pPr>
      <w:rPr>
        <w:rFonts w:hint="default"/>
        <w:lang w:val="fr-FR" w:eastAsia="en-US" w:bidi="ar-SA"/>
      </w:rPr>
    </w:lvl>
    <w:lvl w:ilvl="7" w:tplc="24FC25A4">
      <w:numFmt w:val="bullet"/>
      <w:lvlText w:val="•"/>
      <w:lvlJc w:val="left"/>
      <w:pPr>
        <w:ind w:left="6622" w:hanging="360"/>
      </w:pPr>
      <w:rPr>
        <w:rFonts w:hint="default"/>
        <w:lang w:val="fr-FR" w:eastAsia="en-US" w:bidi="ar-SA"/>
      </w:rPr>
    </w:lvl>
    <w:lvl w:ilvl="8" w:tplc="6BCE5B96">
      <w:numFmt w:val="bullet"/>
      <w:lvlText w:val="•"/>
      <w:lvlJc w:val="left"/>
      <w:pPr>
        <w:ind w:left="7448" w:hanging="360"/>
      </w:pPr>
      <w:rPr>
        <w:rFonts w:hint="default"/>
        <w:lang w:val="fr-FR" w:eastAsia="en-US" w:bidi="ar-SA"/>
      </w:rPr>
    </w:lvl>
  </w:abstractNum>
  <w:abstractNum w:abstractNumId="10">
    <w:nsid w:val="38636B69"/>
    <w:multiLevelType w:val="hybridMultilevel"/>
    <w:tmpl w:val="C324EBF2"/>
    <w:lvl w:ilvl="0" w:tplc="6B9A5EEC">
      <w:numFmt w:val="bullet"/>
      <w:lvlText w:val="-"/>
      <w:lvlJc w:val="left"/>
      <w:pPr>
        <w:ind w:left="842" w:hanging="360"/>
      </w:pPr>
      <w:rPr>
        <w:rFonts w:ascii="Carlito" w:eastAsia="Carlito" w:hAnsi="Carlito" w:cs="Carlito" w:hint="default"/>
        <w:w w:val="100"/>
        <w:sz w:val="22"/>
        <w:szCs w:val="22"/>
        <w:lang w:val="fr-FR" w:eastAsia="en-US" w:bidi="ar-SA"/>
      </w:rPr>
    </w:lvl>
    <w:lvl w:ilvl="1" w:tplc="00DC31F8">
      <w:numFmt w:val="bullet"/>
      <w:lvlText w:val="•"/>
      <w:lvlJc w:val="left"/>
      <w:pPr>
        <w:ind w:left="1666" w:hanging="360"/>
      </w:pPr>
      <w:rPr>
        <w:rFonts w:hint="default"/>
        <w:lang w:val="fr-FR" w:eastAsia="en-US" w:bidi="ar-SA"/>
      </w:rPr>
    </w:lvl>
    <w:lvl w:ilvl="2" w:tplc="5D308930">
      <w:numFmt w:val="bullet"/>
      <w:lvlText w:val="•"/>
      <w:lvlJc w:val="left"/>
      <w:pPr>
        <w:ind w:left="2492" w:hanging="360"/>
      </w:pPr>
      <w:rPr>
        <w:rFonts w:hint="default"/>
        <w:lang w:val="fr-FR" w:eastAsia="en-US" w:bidi="ar-SA"/>
      </w:rPr>
    </w:lvl>
    <w:lvl w:ilvl="3" w:tplc="660664D6">
      <w:numFmt w:val="bullet"/>
      <w:lvlText w:val="•"/>
      <w:lvlJc w:val="left"/>
      <w:pPr>
        <w:ind w:left="3318" w:hanging="360"/>
      </w:pPr>
      <w:rPr>
        <w:rFonts w:hint="default"/>
        <w:lang w:val="fr-FR" w:eastAsia="en-US" w:bidi="ar-SA"/>
      </w:rPr>
    </w:lvl>
    <w:lvl w:ilvl="4" w:tplc="F0F21C34">
      <w:numFmt w:val="bullet"/>
      <w:lvlText w:val="•"/>
      <w:lvlJc w:val="left"/>
      <w:pPr>
        <w:ind w:left="4144" w:hanging="360"/>
      </w:pPr>
      <w:rPr>
        <w:rFonts w:hint="default"/>
        <w:lang w:val="fr-FR" w:eastAsia="en-US" w:bidi="ar-SA"/>
      </w:rPr>
    </w:lvl>
    <w:lvl w:ilvl="5" w:tplc="7BCA5608">
      <w:numFmt w:val="bullet"/>
      <w:lvlText w:val="•"/>
      <w:lvlJc w:val="left"/>
      <w:pPr>
        <w:ind w:left="4970" w:hanging="360"/>
      </w:pPr>
      <w:rPr>
        <w:rFonts w:hint="default"/>
        <w:lang w:val="fr-FR" w:eastAsia="en-US" w:bidi="ar-SA"/>
      </w:rPr>
    </w:lvl>
    <w:lvl w:ilvl="6" w:tplc="067ACA84">
      <w:numFmt w:val="bullet"/>
      <w:lvlText w:val="•"/>
      <w:lvlJc w:val="left"/>
      <w:pPr>
        <w:ind w:left="5796" w:hanging="360"/>
      </w:pPr>
      <w:rPr>
        <w:rFonts w:hint="default"/>
        <w:lang w:val="fr-FR" w:eastAsia="en-US" w:bidi="ar-SA"/>
      </w:rPr>
    </w:lvl>
    <w:lvl w:ilvl="7" w:tplc="AE8A4F0A">
      <w:numFmt w:val="bullet"/>
      <w:lvlText w:val="•"/>
      <w:lvlJc w:val="left"/>
      <w:pPr>
        <w:ind w:left="6622" w:hanging="360"/>
      </w:pPr>
      <w:rPr>
        <w:rFonts w:hint="default"/>
        <w:lang w:val="fr-FR" w:eastAsia="en-US" w:bidi="ar-SA"/>
      </w:rPr>
    </w:lvl>
    <w:lvl w:ilvl="8" w:tplc="9BD00D9A">
      <w:numFmt w:val="bullet"/>
      <w:lvlText w:val="•"/>
      <w:lvlJc w:val="left"/>
      <w:pPr>
        <w:ind w:left="7448" w:hanging="360"/>
      </w:pPr>
      <w:rPr>
        <w:rFonts w:hint="default"/>
        <w:lang w:val="fr-FR" w:eastAsia="en-US" w:bidi="ar-SA"/>
      </w:rPr>
    </w:lvl>
  </w:abstractNum>
  <w:abstractNum w:abstractNumId="11">
    <w:nsid w:val="4B5A75BA"/>
    <w:multiLevelType w:val="hybridMultilevel"/>
    <w:tmpl w:val="C53E8B22"/>
    <w:lvl w:ilvl="0" w:tplc="F7285106">
      <w:start w:val="1"/>
      <w:numFmt w:val="decimal"/>
      <w:lvlText w:val="%1."/>
      <w:lvlJc w:val="left"/>
      <w:pPr>
        <w:ind w:left="488" w:hanging="367"/>
        <w:jc w:val="left"/>
      </w:pPr>
      <w:rPr>
        <w:rFonts w:ascii="Carlito" w:eastAsia="Carlito" w:hAnsi="Carlito" w:cs="Carlito" w:hint="default"/>
        <w:w w:val="100"/>
        <w:sz w:val="22"/>
        <w:szCs w:val="22"/>
        <w:lang w:val="fr-FR" w:eastAsia="en-US" w:bidi="ar-SA"/>
      </w:rPr>
    </w:lvl>
    <w:lvl w:ilvl="1" w:tplc="BDC0EBD2">
      <w:numFmt w:val="none"/>
      <w:lvlText w:val=""/>
      <w:lvlJc w:val="left"/>
      <w:pPr>
        <w:tabs>
          <w:tab w:val="num" w:pos="360"/>
        </w:tabs>
      </w:pPr>
    </w:lvl>
    <w:lvl w:ilvl="2" w:tplc="7F100ACE">
      <w:numFmt w:val="none"/>
      <w:lvlText w:val=""/>
      <w:lvlJc w:val="left"/>
      <w:pPr>
        <w:tabs>
          <w:tab w:val="num" w:pos="360"/>
        </w:tabs>
      </w:pPr>
    </w:lvl>
    <w:lvl w:ilvl="3" w:tplc="EAA448D2">
      <w:numFmt w:val="bullet"/>
      <w:lvlText w:val="•"/>
      <w:lvlJc w:val="left"/>
      <w:pPr>
        <w:ind w:left="1560" w:hanging="595"/>
      </w:pPr>
      <w:rPr>
        <w:rFonts w:hint="default"/>
        <w:lang w:val="fr-FR" w:eastAsia="en-US" w:bidi="ar-SA"/>
      </w:rPr>
    </w:lvl>
    <w:lvl w:ilvl="4" w:tplc="EC4E0C16">
      <w:numFmt w:val="bullet"/>
      <w:lvlText w:val="•"/>
      <w:lvlJc w:val="left"/>
      <w:pPr>
        <w:ind w:left="2637" w:hanging="595"/>
      </w:pPr>
      <w:rPr>
        <w:rFonts w:hint="default"/>
        <w:lang w:val="fr-FR" w:eastAsia="en-US" w:bidi="ar-SA"/>
      </w:rPr>
    </w:lvl>
    <w:lvl w:ilvl="5" w:tplc="09C64376">
      <w:numFmt w:val="bullet"/>
      <w:lvlText w:val="•"/>
      <w:lvlJc w:val="left"/>
      <w:pPr>
        <w:ind w:left="3714" w:hanging="595"/>
      </w:pPr>
      <w:rPr>
        <w:rFonts w:hint="default"/>
        <w:lang w:val="fr-FR" w:eastAsia="en-US" w:bidi="ar-SA"/>
      </w:rPr>
    </w:lvl>
    <w:lvl w:ilvl="6" w:tplc="5D38B748">
      <w:numFmt w:val="bullet"/>
      <w:lvlText w:val="•"/>
      <w:lvlJc w:val="left"/>
      <w:pPr>
        <w:ind w:left="4791" w:hanging="595"/>
      </w:pPr>
      <w:rPr>
        <w:rFonts w:hint="default"/>
        <w:lang w:val="fr-FR" w:eastAsia="en-US" w:bidi="ar-SA"/>
      </w:rPr>
    </w:lvl>
    <w:lvl w:ilvl="7" w:tplc="D2C66E44">
      <w:numFmt w:val="bullet"/>
      <w:lvlText w:val="•"/>
      <w:lvlJc w:val="left"/>
      <w:pPr>
        <w:ind w:left="5868" w:hanging="595"/>
      </w:pPr>
      <w:rPr>
        <w:rFonts w:hint="default"/>
        <w:lang w:val="fr-FR" w:eastAsia="en-US" w:bidi="ar-SA"/>
      </w:rPr>
    </w:lvl>
    <w:lvl w:ilvl="8" w:tplc="84F2D550">
      <w:numFmt w:val="bullet"/>
      <w:lvlText w:val="•"/>
      <w:lvlJc w:val="left"/>
      <w:pPr>
        <w:ind w:left="6945" w:hanging="595"/>
      </w:pPr>
      <w:rPr>
        <w:rFonts w:hint="default"/>
        <w:lang w:val="fr-FR" w:eastAsia="en-US" w:bidi="ar-SA"/>
      </w:rPr>
    </w:lvl>
  </w:abstractNum>
  <w:abstractNum w:abstractNumId="12">
    <w:nsid w:val="7B832D45"/>
    <w:multiLevelType w:val="hybridMultilevel"/>
    <w:tmpl w:val="D74C1DA0"/>
    <w:lvl w:ilvl="0" w:tplc="CE5298D8">
      <w:start w:val="1"/>
      <w:numFmt w:val="decimal"/>
      <w:lvlText w:val="%1."/>
      <w:lvlJc w:val="left"/>
      <w:pPr>
        <w:ind w:left="494" w:hanging="372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fr-FR" w:eastAsia="en-US" w:bidi="ar-SA"/>
      </w:rPr>
    </w:lvl>
    <w:lvl w:ilvl="1" w:tplc="1318F8AC">
      <w:numFmt w:val="none"/>
      <w:lvlText w:val=""/>
      <w:lvlJc w:val="left"/>
      <w:pPr>
        <w:tabs>
          <w:tab w:val="num" w:pos="360"/>
        </w:tabs>
      </w:pPr>
    </w:lvl>
    <w:lvl w:ilvl="2" w:tplc="7840D10C">
      <w:numFmt w:val="none"/>
      <w:lvlText w:val=""/>
      <w:lvlJc w:val="left"/>
      <w:pPr>
        <w:tabs>
          <w:tab w:val="num" w:pos="360"/>
        </w:tabs>
      </w:pPr>
    </w:lvl>
    <w:lvl w:ilvl="3" w:tplc="4914F402">
      <w:numFmt w:val="bullet"/>
      <w:lvlText w:val="-"/>
      <w:lvlJc w:val="left"/>
      <w:pPr>
        <w:ind w:left="842" w:hanging="360"/>
      </w:pPr>
      <w:rPr>
        <w:rFonts w:ascii="Carlito" w:eastAsia="Carlito" w:hAnsi="Carlito" w:cs="Carlito" w:hint="default"/>
        <w:w w:val="100"/>
        <w:sz w:val="22"/>
        <w:szCs w:val="22"/>
        <w:lang w:val="fr-FR" w:eastAsia="en-US" w:bidi="ar-SA"/>
      </w:rPr>
    </w:lvl>
    <w:lvl w:ilvl="4" w:tplc="774AE0EC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5" w:tplc="3D961112">
      <w:numFmt w:val="bullet"/>
      <w:lvlText w:val="•"/>
      <w:lvlJc w:val="left"/>
      <w:pPr>
        <w:ind w:left="840" w:hanging="360"/>
      </w:pPr>
      <w:rPr>
        <w:rFonts w:hint="default"/>
        <w:lang w:val="fr-FR" w:eastAsia="en-US" w:bidi="ar-SA"/>
      </w:rPr>
    </w:lvl>
    <w:lvl w:ilvl="6" w:tplc="1CE83266">
      <w:numFmt w:val="bullet"/>
      <w:lvlText w:val="•"/>
      <w:lvlJc w:val="left"/>
      <w:pPr>
        <w:ind w:left="2492" w:hanging="360"/>
      </w:pPr>
      <w:rPr>
        <w:rFonts w:hint="default"/>
        <w:lang w:val="fr-FR" w:eastAsia="en-US" w:bidi="ar-SA"/>
      </w:rPr>
    </w:lvl>
    <w:lvl w:ilvl="7" w:tplc="E5E64B40">
      <w:numFmt w:val="bullet"/>
      <w:lvlText w:val="•"/>
      <w:lvlJc w:val="left"/>
      <w:pPr>
        <w:ind w:left="4144" w:hanging="360"/>
      </w:pPr>
      <w:rPr>
        <w:rFonts w:hint="default"/>
        <w:lang w:val="fr-FR" w:eastAsia="en-US" w:bidi="ar-SA"/>
      </w:rPr>
    </w:lvl>
    <w:lvl w:ilvl="8" w:tplc="53CC490C">
      <w:numFmt w:val="bullet"/>
      <w:lvlText w:val="•"/>
      <w:lvlJc w:val="left"/>
      <w:pPr>
        <w:ind w:left="5796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A23E77"/>
    <w:rsid w:val="00095523"/>
    <w:rsid w:val="000D0E35"/>
    <w:rsid w:val="00130A78"/>
    <w:rsid w:val="001B15F8"/>
    <w:rsid w:val="002259E8"/>
    <w:rsid w:val="002441B9"/>
    <w:rsid w:val="002556E5"/>
    <w:rsid w:val="002D7E5C"/>
    <w:rsid w:val="00300279"/>
    <w:rsid w:val="00316D02"/>
    <w:rsid w:val="003746BB"/>
    <w:rsid w:val="00452C2F"/>
    <w:rsid w:val="00463F28"/>
    <w:rsid w:val="004E4DAC"/>
    <w:rsid w:val="00584C9A"/>
    <w:rsid w:val="0059452D"/>
    <w:rsid w:val="005F24A8"/>
    <w:rsid w:val="00635921"/>
    <w:rsid w:val="00691E17"/>
    <w:rsid w:val="0076295E"/>
    <w:rsid w:val="007E0B0E"/>
    <w:rsid w:val="008466A4"/>
    <w:rsid w:val="0092216A"/>
    <w:rsid w:val="009F41EF"/>
    <w:rsid w:val="00A23E77"/>
    <w:rsid w:val="00BD7DC3"/>
    <w:rsid w:val="00BE174A"/>
    <w:rsid w:val="00C01F66"/>
    <w:rsid w:val="00C5557B"/>
    <w:rsid w:val="00EB3D7F"/>
    <w:rsid w:val="00F4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after="120" w:line="276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C3"/>
    <w:pPr>
      <w:spacing w:before="0" w:after="0" w:line="240" w:lineRule="auto"/>
      <w:ind w:left="0" w:firstLine="0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4C9A"/>
    <w:pPr>
      <w:widowControl w:val="0"/>
      <w:autoSpaceDE w:val="0"/>
      <w:autoSpaceDN w:val="0"/>
      <w:spacing w:before="0" w:after="0" w:line="240" w:lineRule="auto"/>
      <w:ind w:lef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584C9A"/>
    <w:pPr>
      <w:widowControl w:val="0"/>
      <w:autoSpaceDE w:val="0"/>
      <w:autoSpaceDN w:val="0"/>
      <w:spacing w:before="135"/>
      <w:ind w:left="488" w:hanging="367"/>
    </w:pPr>
    <w:rPr>
      <w:rFonts w:ascii="Carlito" w:eastAsia="Carlito" w:hAnsi="Carlito" w:cs="Carlito"/>
      <w:sz w:val="22"/>
      <w:szCs w:val="22"/>
      <w:lang w:eastAsia="en-US"/>
    </w:rPr>
  </w:style>
  <w:style w:type="paragraph" w:customStyle="1" w:styleId="TOC2">
    <w:name w:val="TOC 2"/>
    <w:basedOn w:val="Normal"/>
    <w:uiPriority w:val="1"/>
    <w:qFormat/>
    <w:rsid w:val="00584C9A"/>
    <w:pPr>
      <w:widowControl w:val="0"/>
      <w:autoSpaceDE w:val="0"/>
      <w:autoSpaceDN w:val="0"/>
      <w:spacing w:before="135"/>
      <w:ind w:left="977" w:hanging="429"/>
    </w:pPr>
    <w:rPr>
      <w:rFonts w:ascii="Carlito" w:eastAsia="Carlito" w:hAnsi="Carlito" w:cs="Carlito"/>
      <w:sz w:val="22"/>
      <w:szCs w:val="22"/>
      <w:lang w:eastAsia="en-US"/>
    </w:rPr>
  </w:style>
  <w:style w:type="paragraph" w:customStyle="1" w:styleId="TOC3">
    <w:name w:val="TOC 3"/>
    <w:basedOn w:val="Normal"/>
    <w:uiPriority w:val="1"/>
    <w:qFormat/>
    <w:rsid w:val="00584C9A"/>
    <w:pPr>
      <w:widowControl w:val="0"/>
      <w:autoSpaceDE w:val="0"/>
      <w:autoSpaceDN w:val="0"/>
      <w:spacing w:before="135"/>
      <w:ind w:left="978" w:hanging="430"/>
    </w:pPr>
    <w:rPr>
      <w:rFonts w:ascii="Carlito" w:eastAsia="Carlito" w:hAnsi="Carlito" w:cs="Carlito"/>
      <w:i/>
      <w:sz w:val="22"/>
      <w:szCs w:val="22"/>
      <w:lang w:eastAsia="en-US"/>
    </w:rPr>
  </w:style>
  <w:style w:type="paragraph" w:customStyle="1" w:styleId="TOC4">
    <w:name w:val="TOC 4"/>
    <w:basedOn w:val="Normal"/>
    <w:uiPriority w:val="1"/>
    <w:qFormat/>
    <w:rsid w:val="00584C9A"/>
    <w:pPr>
      <w:widowControl w:val="0"/>
      <w:autoSpaceDE w:val="0"/>
      <w:autoSpaceDN w:val="0"/>
      <w:spacing w:before="135"/>
      <w:ind w:left="1568" w:hanging="595"/>
    </w:pPr>
    <w:rPr>
      <w:rFonts w:ascii="Carlito" w:eastAsia="Carlito" w:hAnsi="Carlito" w:cs="Carlito"/>
      <w:sz w:val="22"/>
      <w:szCs w:val="22"/>
      <w:lang w:eastAsia="en-US"/>
    </w:rPr>
  </w:style>
  <w:style w:type="paragraph" w:customStyle="1" w:styleId="TOC5">
    <w:name w:val="TOC 5"/>
    <w:basedOn w:val="Normal"/>
    <w:uiPriority w:val="1"/>
    <w:qFormat/>
    <w:rsid w:val="00584C9A"/>
    <w:pPr>
      <w:widowControl w:val="0"/>
      <w:autoSpaceDE w:val="0"/>
      <w:autoSpaceDN w:val="0"/>
      <w:spacing w:before="147"/>
      <w:ind w:left="1540"/>
    </w:pPr>
    <w:rPr>
      <w:rFonts w:ascii="Carlito" w:eastAsia="Carlito" w:hAnsi="Carlito" w:cs="Carlito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584C9A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84C9A"/>
    <w:rPr>
      <w:rFonts w:ascii="Carlito" w:eastAsia="Carlito" w:hAnsi="Carlito" w:cs="Carlito"/>
    </w:rPr>
  </w:style>
  <w:style w:type="paragraph" w:customStyle="1" w:styleId="Heading1">
    <w:name w:val="Heading 1"/>
    <w:basedOn w:val="Normal"/>
    <w:uiPriority w:val="1"/>
    <w:qFormat/>
    <w:rsid w:val="00584C9A"/>
    <w:pPr>
      <w:widowControl w:val="0"/>
      <w:autoSpaceDE w:val="0"/>
      <w:autoSpaceDN w:val="0"/>
      <w:ind w:left="554" w:hanging="432"/>
      <w:jc w:val="both"/>
      <w:outlineLvl w:val="1"/>
    </w:pPr>
    <w:rPr>
      <w:rFonts w:ascii="Carlito" w:eastAsia="Carlito" w:hAnsi="Carlito" w:cs="Carlito"/>
      <w:b/>
      <w:bCs/>
      <w:sz w:val="22"/>
      <w:szCs w:val="22"/>
      <w:lang w:eastAsia="en-US"/>
    </w:rPr>
  </w:style>
  <w:style w:type="paragraph" w:customStyle="1" w:styleId="Heading2">
    <w:name w:val="Heading 2"/>
    <w:basedOn w:val="Normal"/>
    <w:uiPriority w:val="1"/>
    <w:qFormat/>
    <w:rsid w:val="00584C9A"/>
    <w:pPr>
      <w:widowControl w:val="0"/>
      <w:autoSpaceDE w:val="0"/>
      <w:autoSpaceDN w:val="0"/>
      <w:ind w:left="554" w:hanging="432"/>
      <w:jc w:val="both"/>
      <w:outlineLvl w:val="2"/>
    </w:pPr>
    <w:rPr>
      <w:rFonts w:ascii="Carlito" w:eastAsia="Carlito" w:hAnsi="Carlito" w:cs="Carlito"/>
      <w:b/>
      <w:bCs/>
      <w:i/>
      <w:sz w:val="22"/>
      <w:szCs w:val="22"/>
      <w:lang w:eastAsia="en-US"/>
    </w:rPr>
  </w:style>
  <w:style w:type="paragraph" w:styleId="Paragraphedeliste">
    <w:name w:val="List Paragraph"/>
    <w:basedOn w:val="Normal"/>
    <w:uiPriority w:val="1"/>
    <w:qFormat/>
    <w:rsid w:val="00584C9A"/>
    <w:pPr>
      <w:widowControl w:val="0"/>
      <w:autoSpaceDE w:val="0"/>
      <w:autoSpaceDN w:val="0"/>
      <w:spacing w:before="135"/>
      <w:ind w:left="554" w:hanging="432"/>
    </w:pPr>
    <w:rPr>
      <w:rFonts w:ascii="Carlito" w:eastAsia="Carlito" w:hAnsi="Carlito" w:cs="Carlito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84C9A"/>
    <w:pPr>
      <w:widowControl w:val="0"/>
      <w:autoSpaceDE w:val="0"/>
      <w:autoSpaceDN w:val="0"/>
      <w:spacing w:line="248" w:lineRule="exact"/>
      <w:ind w:left="107"/>
    </w:pPr>
    <w:rPr>
      <w:rFonts w:ascii="Carlito" w:eastAsia="Carlito" w:hAnsi="Carlito" w:cs="Carlito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4C9A"/>
    <w:pPr>
      <w:widowControl w:val="0"/>
      <w:autoSpaceDE w:val="0"/>
      <w:autoSpaceDN w:val="0"/>
    </w:pPr>
    <w:rPr>
      <w:rFonts w:ascii="Tahoma" w:eastAsia="Carlito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C9A"/>
    <w:rPr>
      <w:rFonts w:ascii="Tahoma" w:eastAsia="Carlito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84C9A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84C9A"/>
    <w:rPr>
      <w:rFonts w:ascii="Carlito" w:eastAsia="Carlito" w:hAnsi="Carlito" w:cs="Carlito"/>
    </w:rPr>
  </w:style>
  <w:style w:type="paragraph" w:styleId="Pieddepage">
    <w:name w:val="footer"/>
    <w:basedOn w:val="Normal"/>
    <w:link w:val="PieddepageCar"/>
    <w:uiPriority w:val="99"/>
    <w:semiHidden/>
    <w:unhideWhenUsed/>
    <w:rsid w:val="00584C9A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84C9A"/>
    <w:rPr>
      <w:rFonts w:ascii="Carlito" w:eastAsia="Carlito" w:hAnsi="Carlito" w:cs="Carli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2020-04-27T07:09:00Z</dcterms:created>
  <dcterms:modified xsi:type="dcterms:W3CDTF">2020-04-27T07:32:00Z</dcterms:modified>
</cp:coreProperties>
</file>