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fr-FR"/>
        </w:rPr>
        <w:id w:val="26699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BA35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fr-FR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56"/>
                  <w:szCs w:val="56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A37E8">
                      <w:rPr>
                        <w:rFonts w:asciiTheme="majorHAnsi" w:eastAsiaTheme="majorEastAsia" w:hAnsiTheme="majorHAnsi" w:cstheme="majorBidi"/>
                        <w:caps/>
                        <w:sz w:val="56"/>
                        <w:szCs w:val="56"/>
                        <w:lang w:eastAsia="fr-FR"/>
                      </w:rPr>
                      <w:t xml:space="preserve">faculté de medecine d’annaba </w:t>
                    </w:r>
                  </w:p>
                </w:tc>
              </w:sdtContent>
            </w:sdt>
          </w:tr>
          <w:tr w:rsidR="00BA35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fr-FR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35B3" w:rsidRDefault="008847BD" w:rsidP="008847BD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8847B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>Physiologie des récepteurs somatosensoriels</w:t>
                    </w:r>
                    <w:r w:rsidRPr="008847B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 xml:space="preserve"> </w:t>
                    </w:r>
                  </w:p>
                </w:tc>
              </w:sdtContent>
            </w:sdt>
          </w:tr>
          <w:tr w:rsidR="00BA35B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35B3" w:rsidRDefault="00BA35B3" w:rsidP="00FF3B10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2ème année médecine 201</w:t>
                    </w:r>
                    <w:r w:rsidR="002A37E8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9-2020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A35B3" w:rsidRDefault="0091796F">
                <w:pPr>
                  <w:pStyle w:val="Sansinterligne"/>
                  <w:jc w:val="center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229" type="#_x0000_t202" style="position:absolute;left:0;text-align:left;margin-left:117.95pt;margin-top:38.1pt;width:229.25pt;height:33.4pt;z-index:251680256;mso-height-percent:200;mso-position-horizontal-relative:text;mso-position-vertical-relative:text;mso-height-percent:200;mso-width-relative:margin;mso-height-relative:margin" strokecolor="white [3212]">
                      <v:textbox style="mso-next-textbox:#_x0000_s1229;mso-fit-shape-to-text:t">
                        <w:txbxContent>
                          <w:p w:rsidR="002A37E8" w:rsidRDefault="0091796F" w:rsidP="002A37E8">
                            <w:pPr>
                              <w:jc w:val="center"/>
                            </w:pPr>
                            <w:hyperlink r:id="rId9" w:history="1">
                              <w:r w:rsidR="002A37E8" w:rsidRPr="00797BC4">
                                <w:rPr>
                                  <w:rStyle w:val="Lienhypertexte"/>
                                </w:rPr>
                                <w:t>benahmedabdelhalim@gmail.com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w:r>
              </w:p>
            </w:tc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BA35B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 w:rsidRPr="002A37E8">
                      <w:rPr>
                        <w:b/>
                        <w:bCs/>
                        <w:sz w:val="36"/>
                        <w:szCs w:val="36"/>
                      </w:rPr>
                      <w:t>Dr A. Benahmed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A35B3" w:rsidRDefault="00BA35B3"/>
        <w:p w:rsidR="00BA35B3" w:rsidRDefault="00BA35B3"/>
        <w:p w:rsidR="00B27B05" w:rsidRDefault="00B27B05"/>
        <w:p w:rsidR="00B27B05" w:rsidRDefault="00B27B05"/>
        <w:p w:rsidR="00BA35B3" w:rsidRDefault="00BA35B3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2A37E8" w:rsidRPr="000F7A78" w:rsidRDefault="002A37E8" w:rsidP="003A53AF">
          <w:pPr>
            <w:pStyle w:val="Paragraphedeliste"/>
            <w:numPr>
              <w:ilvl w:val="0"/>
              <w:numId w:val="108"/>
            </w:numPr>
            <w:spacing w:before="100" w:beforeAutospacing="1" w:after="100" w:afterAutospacing="1" w:line="360" w:lineRule="auto"/>
            <w:ind w:left="142" w:hanging="142"/>
            <w:jc w:val="both"/>
            <w:outlineLvl w:val="2"/>
            <w:rPr>
              <w:rFonts w:cstheme="minorHAnsi"/>
              <w:color w:val="215868" w:themeColor="accent5" w:themeShade="80"/>
              <w:sz w:val="28"/>
              <w:szCs w:val="28"/>
              <w:u w:val="single"/>
            </w:rPr>
          </w:pPr>
          <w:r w:rsidRPr="000F7A78"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  <w:lastRenderedPageBreak/>
            <w:t>Définition :</w:t>
          </w:r>
          <w:r w:rsidRPr="000F7A78">
            <w:rPr>
              <w:rFonts w:asciiTheme="majorHAnsi" w:hAnsiTheme="majorHAnsi"/>
              <w:color w:val="002060"/>
              <w:sz w:val="28"/>
              <w:szCs w:val="28"/>
            </w:rPr>
            <w:t xml:space="preserve"> </w:t>
          </w:r>
          <w:r w:rsidRPr="000F7A78">
            <w:rPr>
              <w:rFonts w:cstheme="minorHAnsi"/>
              <w:sz w:val="28"/>
              <w:szCs w:val="28"/>
            </w:rPr>
            <w:t xml:space="preserve">les </w:t>
          </w:r>
          <w:r w:rsidRPr="000F7A78">
            <w:rPr>
              <w:rFonts w:cstheme="minorHAnsi"/>
              <w:iCs/>
              <w:sz w:val="28"/>
              <w:szCs w:val="28"/>
            </w:rPr>
            <w:t>récepteurs somatosensoriels, sont</w:t>
          </w:r>
          <w:r w:rsidRPr="000F7A78">
            <w:rPr>
              <w:rFonts w:cstheme="minorHAnsi"/>
              <w:sz w:val="28"/>
              <w:szCs w:val="28"/>
            </w:rPr>
            <w:t xml:space="preserve"> des structures spécialisées</w:t>
          </w:r>
          <w:r w:rsidRPr="000F7A78">
            <w:rPr>
              <w:rFonts w:cstheme="minorHAnsi"/>
              <w:color w:val="002060"/>
              <w:sz w:val="28"/>
              <w:szCs w:val="28"/>
            </w:rPr>
            <w:t> </w:t>
          </w:r>
          <w:r w:rsidRPr="000F7A78">
            <w:rPr>
              <w:rFonts w:cstheme="minorHAnsi"/>
              <w:sz w:val="28"/>
              <w:szCs w:val="28"/>
            </w:rPr>
            <w:t xml:space="preserve">; soit repartis dans un tissu (récepteurs de la peau), soit groupés en organes sensoriels (œil, oreille), qui permettent la </w:t>
          </w:r>
          <w:r w:rsidRPr="000F7A78">
            <w:rPr>
              <w:rFonts w:cstheme="minorHAnsi"/>
              <w:b/>
              <w:bCs/>
              <w:sz w:val="28"/>
              <w:szCs w:val="28"/>
            </w:rPr>
            <w:t xml:space="preserve">conversion </w:t>
          </w:r>
          <w:r w:rsidRPr="000F7A78">
            <w:rPr>
              <w:rFonts w:cstheme="minorHAnsi"/>
              <w:sz w:val="28"/>
              <w:szCs w:val="28"/>
            </w:rPr>
            <w:t>de l’énergie d’un stimulus  physique ou chimique en signaux électriques (informations) utilisables par le système nerveux.</w:t>
          </w:r>
          <w:r>
            <w:rPr>
              <w:rFonts w:cstheme="minorHAnsi"/>
              <w:sz w:val="28"/>
              <w:szCs w:val="28"/>
            </w:rPr>
            <w:t xml:space="preserve"> </w:t>
          </w:r>
          <w:r w:rsidRPr="000F7A78">
            <w:rPr>
              <w:rFonts w:cstheme="minorHAnsi"/>
              <w:sz w:val="28"/>
              <w:szCs w:val="28"/>
            </w:rPr>
            <w:t xml:space="preserve">Ce phénomène est appelé </w:t>
          </w:r>
          <w:r w:rsidRPr="000F7A78">
            <w:rPr>
              <w:rFonts w:cstheme="minorHAnsi"/>
              <w:b/>
              <w:bCs/>
              <w:sz w:val="28"/>
              <w:szCs w:val="28"/>
            </w:rPr>
            <w:t>la transduction</w:t>
          </w:r>
          <w:r w:rsidRPr="000F7A78">
            <w:rPr>
              <w:rFonts w:cstheme="minorHAnsi"/>
              <w:sz w:val="28"/>
              <w:szCs w:val="28"/>
            </w:rPr>
            <w:t>.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08"/>
            </w:numPr>
            <w:spacing w:before="100" w:beforeAutospacing="1" w:after="100" w:afterAutospacing="1" w:line="360" w:lineRule="auto"/>
            <w:ind w:left="142" w:hanging="142"/>
            <w:jc w:val="both"/>
            <w:outlineLvl w:val="2"/>
            <w:rPr>
              <w:rFonts w:asciiTheme="majorHAnsi" w:hAnsiTheme="majorHAnsi"/>
              <w:color w:val="002060"/>
              <w:sz w:val="28"/>
              <w:szCs w:val="28"/>
            </w:rPr>
          </w:pPr>
          <w:r w:rsidRPr="000F7A78"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  <w:t>Classification des récepteurs :</w:t>
          </w:r>
          <w:r w:rsidRPr="000F7A78">
            <w:rPr>
              <w:rFonts w:asciiTheme="majorHAnsi" w:hAnsiTheme="majorHAnsi"/>
              <w:color w:val="002060"/>
              <w:sz w:val="28"/>
              <w:szCs w:val="28"/>
            </w:rPr>
            <w:t xml:space="preserve"> </w:t>
          </w:r>
          <w:r w:rsidRPr="000F7A78">
            <w:rPr>
              <w:rFonts w:cstheme="minorHAnsi"/>
              <w:sz w:val="28"/>
              <w:szCs w:val="28"/>
            </w:rPr>
            <w:t>En fonction du type de stimulus auquel ils répondent, on distingue ;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1"/>
            </w:numPr>
            <w:spacing w:before="100" w:beforeAutospacing="1" w:after="100" w:afterAutospacing="1" w:line="360" w:lineRule="auto"/>
            <w:jc w:val="both"/>
            <w:outlineLvl w:val="2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mécanorécepteurs :</w:t>
          </w:r>
          <w:r w:rsidRPr="000F7A78">
            <w:rPr>
              <w:rFonts w:cstheme="minorHAnsi"/>
              <w:sz w:val="28"/>
              <w:szCs w:val="28"/>
            </w:rPr>
            <w:t xml:space="preserve"> sont les récepteurs qui captent des stimuli liés à la distension, à la vibration, à la tension, à l'audition et à l'équilibre ainsi qu'à la pression.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1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chimiorécepteurs</w:t>
          </w:r>
          <w:r w:rsidRPr="000F7A78">
            <w:rPr>
              <w:rFonts w:cstheme="minorHAnsi"/>
              <w:sz w:val="28"/>
              <w:szCs w:val="28"/>
            </w:rPr>
            <w:t xml:space="preserve"> : sont les récepteurs spécialisés dans la détection de stimuli de nature chimique 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1"/>
            </w:numPr>
            <w:spacing w:before="100" w:beforeAutospacing="1" w:after="100" w:afterAutospacing="1" w:line="360" w:lineRule="auto"/>
            <w:jc w:val="both"/>
            <w:outlineLvl w:val="2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thermorécepteurs :</w:t>
          </w:r>
          <w:r w:rsidRPr="000F7A78">
            <w:rPr>
              <w:rFonts w:cstheme="minorHAnsi"/>
              <w:sz w:val="28"/>
              <w:szCs w:val="28"/>
            </w:rPr>
            <w:t xml:space="preserve"> sont les récepteurs capables de détecter les stimuli de nature thermique, 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1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photorécepteurs :</w:t>
          </w:r>
          <w:r w:rsidRPr="000F7A78">
            <w:rPr>
              <w:rFonts w:cstheme="minorHAnsi"/>
              <w:sz w:val="28"/>
              <w:szCs w:val="28"/>
            </w:rPr>
            <w:t xml:space="preserve"> sont les récepteurs sensibles à la lumière. 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1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nocicepteurs</w:t>
          </w:r>
          <w:r w:rsidRPr="000F7A78">
            <w:rPr>
              <w:rFonts w:cstheme="minorHAnsi"/>
              <w:sz w:val="28"/>
              <w:szCs w:val="28"/>
            </w:rPr>
            <w:t xml:space="preserve">   : sont les récepteurs  sensibles à la douleur résultant d'une lésion tissulaire.</w:t>
          </w:r>
        </w:p>
        <w:p w:rsidR="002A37E8" w:rsidRPr="000F7A78" w:rsidRDefault="002A37E8" w:rsidP="002A37E8">
          <w:pPr>
            <w:pStyle w:val="Paragraphedeliste"/>
            <w:spacing w:before="100" w:beforeAutospacing="1" w:after="100" w:afterAutospacing="1" w:line="360" w:lineRule="auto"/>
            <w:ind w:left="502"/>
            <w:jc w:val="both"/>
            <w:outlineLvl w:val="2"/>
            <w:rPr>
              <w:rFonts w:asciiTheme="majorHAnsi" w:hAnsiTheme="majorHAnsi"/>
              <w:sz w:val="28"/>
              <w:szCs w:val="28"/>
            </w:rPr>
          </w:pPr>
        </w:p>
        <w:p w:rsidR="002A37E8" w:rsidRPr="000F7A78" w:rsidRDefault="002A37E8" w:rsidP="003A53AF">
          <w:pPr>
            <w:pStyle w:val="Paragraphedeliste"/>
            <w:numPr>
              <w:ilvl w:val="0"/>
              <w:numId w:val="108"/>
            </w:numPr>
            <w:spacing w:before="100" w:beforeAutospacing="1" w:after="100" w:afterAutospacing="1" w:line="360" w:lineRule="auto"/>
            <w:ind w:left="142" w:hanging="142"/>
            <w:jc w:val="both"/>
            <w:outlineLvl w:val="2"/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</w:pPr>
          <w:r w:rsidRPr="000F7A78"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  <w:t>Propriétés générales des récepteurs :</w:t>
          </w:r>
        </w:p>
        <w:p w:rsidR="002A37E8" w:rsidRDefault="002A37E8" w:rsidP="002A37E8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Les études réalisés sur le corpuscule de Pacini ont permet  de comprendre </w:t>
          </w:r>
          <w:r w:rsidRPr="000F7A78">
            <w:rPr>
              <w:rFonts w:cstheme="minorHAnsi"/>
              <w:sz w:val="28"/>
              <w:szCs w:val="28"/>
              <w:u w:val="single"/>
            </w:rPr>
            <w:t>le mode</w:t>
          </w:r>
          <w:r w:rsidRPr="000F7A78">
            <w:rPr>
              <w:rFonts w:cstheme="minorHAnsi"/>
              <w:sz w:val="28"/>
              <w:szCs w:val="28"/>
            </w:rPr>
            <w:t xml:space="preserve"> </w:t>
          </w:r>
          <w:r w:rsidRPr="000F7A78">
            <w:rPr>
              <w:rFonts w:cstheme="minorHAnsi"/>
              <w:sz w:val="28"/>
              <w:szCs w:val="28"/>
              <w:u w:val="single"/>
            </w:rPr>
            <w:t>de transduction</w:t>
          </w:r>
          <w:r w:rsidRPr="000F7A78">
            <w:rPr>
              <w:rFonts w:cstheme="minorHAnsi"/>
              <w:sz w:val="28"/>
              <w:szCs w:val="28"/>
            </w:rPr>
            <w:t xml:space="preserve"> et de dégager un certain nombre </w:t>
          </w:r>
          <w:r w:rsidRPr="000F7A78">
            <w:rPr>
              <w:rFonts w:cstheme="minorHAnsi"/>
              <w:sz w:val="28"/>
              <w:szCs w:val="28"/>
              <w:u w:val="single"/>
            </w:rPr>
            <w:t>de propriétés générales</w:t>
          </w:r>
          <w:r w:rsidRPr="000F7A78">
            <w:rPr>
              <w:rFonts w:cstheme="minorHAnsi"/>
              <w:sz w:val="28"/>
              <w:szCs w:val="28"/>
            </w:rPr>
            <w:t xml:space="preserve"> des récepteurs.</w:t>
          </w:r>
        </w:p>
        <w:p w:rsidR="002A37E8" w:rsidRPr="000F7A78" w:rsidRDefault="002A37E8" w:rsidP="002A37E8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color w:val="002060"/>
              <w:sz w:val="28"/>
              <w:szCs w:val="28"/>
              <w:u w:val="single"/>
            </w:rPr>
          </w:pP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>Le potentiel récepteur 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09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noProof/>
              <w:color w:val="FF0000"/>
              <w:sz w:val="28"/>
              <w:szCs w:val="28"/>
              <w:u w:val="single"/>
            </w:rPr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65405</wp:posOffset>
                </wp:positionV>
                <wp:extent cx="3822700" cy="2210435"/>
                <wp:effectExtent l="57150" t="19050" r="120650" b="94615"/>
                <wp:wrapTight wrapText="bothSides">
                  <wp:wrapPolygon edited="0">
                    <wp:start x="-323" y="-186"/>
                    <wp:lineTo x="0" y="22525"/>
                    <wp:lineTo x="22066" y="22525"/>
                    <wp:lineTo x="22174" y="22525"/>
                    <wp:lineTo x="22282" y="21408"/>
                    <wp:lineTo x="22282" y="186"/>
                    <wp:lineTo x="22066" y="-186"/>
                    <wp:lineTo x="-323" y="-186"/>
                  </wp:wrapPolygon>
                </wp:wrapTight>
                <wp:docPr id="8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0" cy="2210435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0F7A78">
            <w:rPr>
              <w:rFonts w:cstheme="minorHAnsi"/>
              <w:color w:val="FF0000"/>
              <w:sz w:val="28"/>
              <w:szCs w:val="28"/>
              <w:u w:val="single"/>
            </w:rPr>
            <w:t>Mise en évidence :</w:t>
          </w:r>
          <w:r w:rsidRPr="000F7A78">
            <w:rPr>
              <w:rFonts w:cstheme="minorHAnsi"/>
              <w:sz w:val="28"/>
              <w:szCs w:val="28"/>
            </w:rPr>
            <w:t xml:space="preserve"> Le potentiel récepteur(PR) </w:t>
          </w:r>
          <w:r w:rsidRPr="000F7A78">
            <w:rPr>
              <w:rFonts w:cstheme="minorHAnsi"/>
              <w:sz w:val="28"/>
              <w:szCs w:val="28"/>
            </w:rPr>
            <w:lastRenderedPageBreak/>
            <w:t>est mis en évidence grâce à cristal piézo- électrique, et deux paires microélectrodes placées respectivement, au niveau de la terminaison nerveuse qui se trouve au niveau de la capsule et au niveau du premier nœud de Ranvier.</w:t>
          </w:r>
          <w:r w:rsidRPr="000F7A78">
            <w:rPr>
              <w:rFonts w:cstheme="minorHAnsi"/>
              <w:noProof/>
              <w:sz w:val="28"/>
              <w:szCs w:val="28"/>
            </w:rPr>
            <w:t xml:space="preserve"> 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0"/>
            </w:numPr>
            <w:tabs>
              <w:tab w:val="left" w:pos="851"/>
              <w:tab w:val="left" w:pos="993"/>
            </w:tabs>
            <w:spacing w:line="360" w:lineRule="auto"/>
            <w:ind w:left="851" w:firstLine="0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Lorsqu’ on exerce une pression de faible intensité sur la couche lamellaire : les microélectrodes placées au niveau de la terminaison nerveuse, enregistrent une dépolarisation locale qui croît rapidement, puis elle décroît exponentiellement, cette dépolarisation locale est appelée </w:t>
          </w:r>
          <w:r w:rsidRPr="000F7A78">
            <w:rPr>
              <w:rFonts w:cstheme="minorHAnsi"/>
              <w:b/>
              <w:bCs/>
              <w:i/>
              <w:iCs/>
              <w:sz w:val="28"/>
              <w:szCs w:val="28"/>
            </w:rPr>
            <w:t>potentiel récepteur.</w:t>
          </w:r>
          <w:r w:rsidRPr="000F7A78">
            <w:rPr>
              <w:rFonts w:cstheme="minorHAnsi"/>
              <w:sz w:val="28"/>
              <w:szCs w:val="28"/>
            </w:rPr>
            <w:t xml:space="preserve"> 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0"/>
            </w:numPr>
            <w:tabs>
              <w:tab w:val="left" w:pos="851"/>
              <w:tab w:val="left" w:pos="993"/>
            </w:tabs>
            <w:spacing w:line="360" w:lineRule="auto"/>
            <w:ind w:left="851" w:firstLine="0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>Lorsqu’ on augmente l’intensité de pression : les microélectrodes placées au niveau du premier nœud de Ranvier, enregistrent un potentiel.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09"/>
            </w:numPr>
            <w:spacing w:line="360" w:lineRule="auto"/>
            <w:jc w:val="both"/>
            <w:rPr>
              <w:rFonts w:cstheme="minorHAnsi"/>
              <w:noProof/>
              <w:color w:val="FF0000"/>
              <w:sz w:val="28"/>
              <w:szCs w:val="28"/>
              <w:u w:val="single"/>
            </w:rPr>
          </w:pPr>
          <w:r w:rsidRPr="000F7A78">
            <w:rPr>
              <w:rFonts w:cstheme="minorHAnsi"/>
              <w:noProof/>
              <w:color w:val="FF0000"/>
              <w:sz w:val="28"/>
              <w:szCs w:val="28"/>
              <w:u w:val="single"/>
            </w:rPr>
            <w:t>Caractéristiques du potentiel récepteur :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2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Le PR est un </w:t>
          </w:r>
          <w:r w:rsidRPr="000F7A78">
            <w:rPr>
              <w:rFonts w:cstheme="minorHAnsi"/>
              <w:iCs/>
              <w:sz w:val="28"/>
              <w:szCs w:val="28"/>
            </w:rPr>
            <w:t>potentiel local 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2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Le PR est un </w:t>
          </w:r>
          <w:r w:rsidRPr="000F7A78">
            <w:rPr>
              <w:rFonts w:cstheme="minorHAnsi"/>
              <w:iCs/>
              <w:sz w:val="28"/>
              <w:szCs w:val="28"/>
            </w:rPr>
            <w:t>potentiel graduable</w:t>
          </w:r>
          <w:r w:rsidRPr="000F7A78">
            <w:rPr>
              <w:rFonts w:cstheme="minorHAnsi"/>
              <w:sz w:val="28"/>
              <w:szCs w:val="28"/>
            </w:rPr>
            <w:t> 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12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>Le PR est sommable dans le temps et l’espace </w:t>
          </w:r>
        </w:p>
        <w:p w:rsidR="002A37E8" w:rsidRPr="000F7A78" w:rsidRDefault="002A37E8" w:rsidP="003A53AF">
          <w:pPr>
            <w:pStyle w:val="Paragraphedeliste"/>
            <w:numPr>
              <w:ilvl w:val="0"/>
              <w:numId w:val="109"/>
            </w:numPr>
            <w:spacing w:line="360" w:lineRule="auto"/>
            <w:jc w:val="both"/>
            <w:rPr>
              <w:rFonts w:cstheme="minorHAnsi"/>
              <w:color w:val="FF0000"/>
              <w:sz w:val="28"/>
              <w:szCs w:val="28"/>
              <w:u w:val="single"/>
            </w:rPr>
          </w:pPr>
          <w:r w:rsidRPr="000F7A78">
            <w:rPr>
              <w:rFonts w:cstheme="minorHAnsi"/>
              <w:color w:val="FF0000"/>
              <w:sz w:val="28"/>
              <w:szCs w:val="28"/>
              <w:u w:val="single"/>
            </w:rPr>
            <w:t xml:space="preserve">Origine ionique du potentiel récepteur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la déformation la partie terminale des arborisations dendritiques.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Provoque l’ouverture de canaux ioniques mécano-dépendants membranaires et le passage de cations (Na+)  à travers la membrane,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noProof/>
              <w:sz w:val="28"/>
              <w:szCs w:val="28"/>
            </w:rPr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716915</wp:posOffset>
                </wp:positionV>
                <wp:extent cx="3285490" cy="1526540"/>
                <wp:effectExtent l="57150" t="19050" r="105410" b="92710"/>
                <wp:wrapTight wrapText="bothSides">
                  <wp:wrapPolygon edited="0">
                    <wp:start x="-376" y="-270"/>
                    <wp:lineTo x="0" y="22912"/>
                    <wp:lineTo x="22043" y="22912"/>
                    <wp:lineTo x="22168" y="22912"/>
                    <wp:lineTo x="22293" y="21834"/>
                    <wp:lineTo x="22293" y="270"/>
                    <wp:lineTo x="22043" y="-270"/>
                    <wp:lineTo x="-376" y="-270"/>
                  </wp:wrapPolygon>
                </wp:wrapTight>
                <wp:docPr id="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5490" cy="1526540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0F7A78">
            <w:rPr>
              <w:rFonts w:cstheme="minorHAnsi"/>
              <w:sz w:val="28"/>
              <w:szCs w:val="28"/>
            </w:rPr>
            <w:t>le passage de cations (Na+) a travers la membrane, engendre une dépolarisation locale, appelée potentiel récepteur (ou générateur dans certain cas)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lorsque le potentiel récepteur « qui est graduable » arrivant a certain </w:t>
          </w:r>
          <w:r w:rsidRPr="000F7A78">
            <w:rPr>
              <w:rFonts w:cstheme="minorHAnsi"/>
              <w:sz w:val="28"/>
              <w:szCs w:val="28"/>
            </w:rPr>
            <w:lastRenderedPageBreak/>
            <w:t xml:space="preserve">seuil, déclenche l’ouverture  des canaux ioniques potentiel-dépendants et entrée massive de cations (Na+) et la genèse de potentiel (potentiels) d’action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>les potentiels d’action ainsi formés sont propagés ensuite de façon régénérative le long de la fibre sensorielle jusqu’au centre nerveux.</w:t>
          </w: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 xml:space="preserve">Stimulus adéquat : </w:t>
          </w:r>
          <w:r w:rsidRPr="000F7A78">
            <w:rPr>
              <w:rFonts w:cstheme="minorHAnsi"/>
              <w:sz w:val="28"/>
              <w:szCs w:val="28"/>
            </w:rPr>
            <w:t xml:space="preserve">c’est la forme d’énergie a la quelle le récepteur possède le seuil  le plus bas. </w:t>
          </w: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>Le seuil :</w:t>
          </w:r>
          <w:r w:rsidRPr="000F7A78">
            <w:rPr>
              <w:rFonts w:cstheme="minorHAnsi"/>
              <w:sz w:val="28"/>
              <w:szCs w:val="28"/>
            </w:rPr>
            <w:t xml:space="preserve"> selon l’intensité de  stimulation, il existe :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 xml:space="preserve">Les récepteurs de bas seuil (ou à sensibilité élevée) : </w:t>
          </w:r>
          <w:r w:rsidRPr="000F7A78">
            <w:rPr>
              <w:rFonts w:cstheme="minorHAnsi"/>
              <w:sz w:val="28"/>
              <w:szCs w:val="28"/>
            </w:rPr>
            <w:t>activés par des stimulations de faible intensités c'est-à-dire ; ils émettent des potentiels d’action pour de très faibles intensités stimulations.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Les récepteurs à seuil élevé :</w:t>
          </w:r>
          <w:r w:rsidRPr="000F7A78">
            <w:rPr>
              <w:rFonts w:cstheme="minorHAnsi"/>
              <w:sz w:val="28"/>
              <w:szCs w:val="28"/>
            </w:rPr>
            <w:t xml:space="preserve"> activés par des stimulations de fortes intensités, ils émettent des potentiels d’action pour de fortes intensités stimulations.</w:t>
          </w: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color w:val="002060"/>
              <w:sz w:val="28"/>
              <w:szCs w:val="28"/>
              <w:u w:val="single"/>
            </w:rPr>
          </w:pP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 xml:space="preserve">Adaptation :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tabs>
              <w:tab w:val="clear" w:pos="1070"/>
              <w:tab w:val="num" w:pos="709"/>
            </w:tabs>
            <w:spacing w:line="360" w:lineRule="auto"/>
            <w:ind w:left="709" w:hanging="283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b/>
              <w:bCs/>
              <w:sz w:val="28"/>
              <w:szCs w:val="28"/>
            </w:rPr>
            <w:t>Récepteurs à adaptation rapide (ou phasiques):</w:t>
          </w:r>
          <w:r w:rsidRPr="000F7A78">
            <w:rPr>
              <w:rFonts w:cstheme="minorHAnsi"/>
              <w:sz w:val="28"/>
              <w:szCs w:val="28"/>
            </w:rPr>
            <w:t xml:space="preserve"> lors d’une stimulation prolongée, la fréquence des potentiels d’action diminue au cours du temps.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tabs>
              <w:tab w:val="clear" w:pos="1070"/>
              <w:tab w:val="num" w:pos="709"/>
            </w:tabs>
            <w:spacing w:line="360" w:lineRule="auto"/>
            <w:ind w:left="709" w:hanging="283"/>
            <w:jc w:val="both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59055</wp:posOffset>
                </wp:positionV>
                <wp:extent cx="2141855" cy="1576070"/>
                <wp:effectExtent l="57150" t="19050" r="106045" b="100330"/>
                <wp:wrapTight wrapText="bothSides">
                  <wp:wrapPolygon edited="0">
                    <wp:start x="-576" y="-261"/>
                    <wp:lineTo x="0" y="22975"/>
                    <wp:lineTo x="22285" y="22975"/>
                    <wp:lineTo x="22477" y="22975"/>
                    <wp:lineTo x="22669" y="21409"/>
                    <wp:lineTo x="22669" y="261"/>
                    <wp:lineTo x="22285" y="-261"/>
                    <wp:lineTo x="-576" y="-261"/>
                  </wp:wrapPolygon>
                </wp:wrapTight>
                <wp:docPr id="8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1855" cy="1576070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0F7A78">
            <w:rPr>
              <w:rFonts w:cstheme="minorHAnsi"/>
              <w:b/>
              <w:bCs/>
              <w:sz w:val="28"/>
              <w:szCs w:val="28"/>
            </w:rPr>
            <w:t>Récepteurs à adaptation lente (ou toniques):</w:t>
          </w:r>
          <w:r w:rsidRPr="000F7A78">
            <w:rPr>
              <w:rFonts w:cstheme="minorHAnsi"/>
              <w:sz w:val="28"/>
              <w:szCs w:val="28"/>
            </w:rPr>
            <w:t xml:space="preserve"> lors d’une stimulation prolongée, la fréquence des potentiels d’action émis par le récepteur ne diminue que très faiblement au cours du temps. </w:t>
          </w: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color w:val="002060"/>
              <w:sz w:val="28"/>
              <w:szCs w:val="28"/>
              <w:u w:val="single"/>
            </w:rPr>
          </w:pPr>
          <w:r w:rsidRPr="000F7A78">
            <w:rPr>
              <w:rFonts w:cstheme="minorHAnsi"/>
              <w:noProof/>
              <w:color w:val="002060"/>
              <w:sz w:val="28"/>
              <w:szCs w:val="28"/>
              <w:u w:val="single"/>
            </w:rPr>
            <w:lastRenderedPageBreak/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351155</wp:posOffset>
                </wp:positionV>
                <wp:extent cx="2667635" cy="1723390"/>
                <wp:effectExtent l="57150" t="19050" r="113665" b="86360"/>
                <wp:wrapTight wrapText="bothSides">
                  <wp:wrapPolygon edited="0">
                    <wp:start x="-463" y="-239"/>
                    <wp:lineTo x="0" y="22682"/>
                    <wp:lineTo x="22212" y="22682"/>
                    <wp:lineTo x="22366" y="22682"/>
                    <wp:lineTo x="22520" y="21250"/>
                    <wp:lineTo x="22520" y="239"/>
                    <wp:lineTo x="22212" y="-239"/>
                    <wp:lineTo x="-463" y="-239"/>
                  </wp:wrapPolygon>
                </wp:wrapTight>
                <wp:docPr id="8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635" cy="1723390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>Site générateur :</w:t>
          </w:r>
          <w:r w:rsidRPr="000F7A78">
            <w:rPr>
              <w:rFonts w:cstheme="minorHAnsi"/>
              <w:color w:val="002060"/>
              <w:sz w:val="28"/>
              <w:szCs w:val="28"/>
            </w:rPr>
            <w:t xml:space="preserve"> </w:t>
          </w:r>
          <w:r w:rsidRPr="000F7A78">
            <w:rPr>
              <w:rFonts w:cstheme="minorHAnsi"/>
              <w:sz w:val="28"/>
              <w:szCs w:val="28"/>
            </w:rPr>
            <w:t xml:space="preserve">Le site générateur est le point précis où sont initiés les potentiels d’action ;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tabs>
              <w:tab w:val="clear" w:pos="1070"/>
              <w:tab w:val="num" w:pos="709"/>
            </w:tabs>
            <w:spacing w:line="360" w:lineRule="auto"/>
            <w:ind w:left="709" w:hanging="283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Il peut être dans </w:t>
          </w:r>
          <w:r w:rsidRPr="000F7A78">
            <w:rPr>
              <w:rFonts w:cstheme="minorHAnsi"/>
              <w:b/>
              <w:bCs/>
              <w:sz w:val="28"/>
              <w:szCs w:val="28"/>
            </w:rPr>
            <w:t>la même terminaison nerveuse</w:t>
          </w:r>
          <w:r w:rsidRPr="000F7A78">
            <w:rPr>
              <w:rFonts w:cstheme="minorHAnsi"/>
              <w:sz w:val="28"/>
              <w:szCs w:val="28"/>
            </w:rPr>
            <w:t xml:space="preserve">, en des points différents de la membrane ;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tabs>
              <w:tab w:val="clear" w:pos="1070"/>
              <w:tab w:val="num" w:pos="709"/>
            </w:tabs>
            <w:spacing w:line="360" w:lineRule="auto"/>
            <w:ind w:left="709" w:hanging="283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Ou dans </w:t>
          </w:r>
          <w:r w:rsidRPr="000F7A78">
            <w:rPr>
              <w:rFonts w:cstheme="minorHAnsi"/>
              <w:b/>
              <w:bCs/>
              <w:sz w:val="28"/>
              <w:szCs w:val="28"/>
            </w:rPr>
            <w:t>un neurone différent</w:t>
          </w:r>
          <w:r w:rsidRPr="000F7A78">
            <w:rPr>
              <w:rFonts w:cstheme="minorHAnsi"/>
              <w:sz w:val="28"/>
              <w:szCs w:val="28"/>
            </w:rPr>
            <w:t xml:space="preserve"> du neurone sensoriel apparus les potentiels de récepteurs; </w:t>
          </w:r>
        </w:p>
        <w:p w:rsidR="002A37E8" w:rsidRPr="000F7A78" w:rsidRDefault="002A37E8" w:rsidP="003A53AF">
          <w:pPr>
            <w:numPr>
              <w:ilvl w:val="0"/>
              <w:numId w:val="113"/>
            </w:numPr>
            <w:tabs>
              <w:tab w:val="clear" w:pos="1070"/>
              <w:tab w:val="num" w:pos="709"/>
            </w:tabs>
            <w:spacing w:line="360" w:lineRule="auto"/>
            <w:ind w:left="709" w:hanging="283"/>
            <w:jc w:val="both"/>
            <w:rPr>
              <w:rFonts w:cstheme="minorHAnsi"/>
              <w:sz w:val="28"/>
              <w:szCs w:val="28"/>
            </w:rPr>
          </w:pPr>
          <w:r w:rsidRPr="000F7A78">
            <w:rPr>
              <w:rFonts w:cstheme="minorHAnsi"/>
              <w:sz w:val="28"/>
              <w:szCs w:val="28"/>
            </w:rPr>
            <w:t xml:space="preserve">Ou encore </w:t>
          </w:r>
          <w:r w:rsidRPr="000F7A78">
            <w:rPr>
              <w:rFonts w:cstheme="minorHAnsi"/>
              <w:b/>
              <w:bCs/>
              <w:sz w:val="28"/>
              <w:szCs w:val="28"/>
            </w:rPr>
            <w:t xml:space="preserve">dans un neurone éloigné </w:t>
          </w:r>
          <w:r w:rsidRPr="000F7A78">
            <w:rPr>
              <w:rFonts w:cstheme="minorHAnsi"/>
              <w:sz w:val="28"/>
              <w:szCs w:val="28"/>
            </w:rPr>
            <w:t>des neurones sensoriels où sont apparus les potentiels de récepteurs.</w:t>
          </w:r>
        </w:p>
        <w:p w:rsidR="002A37E8" w:rsidRPr="000F7A78" w:rsidRDefault="002A37E8" w:rsidP="003A53AF">
          <w:pPr>
            <w:numPr>
              <w:ilvl w:val="0"/>
              <w:numId w:val="107"/>
            </w:numPr>
            <w:spacing w:line="360" w:lineRule="auto"/>
            <w:jc w:val="both"/>
            <w:rPr>
              <w:rFonts w:cstheme="minorHAnsi"/>
              <w:color w:val="002060"/>
              <w:sz w:val="28"/>
              <w:szCs w:val="28"/>
              <w:u w:val="single"/>
            </w:rPr>
          </w:pPr>
          <w:r w:rsidRPr="000F7A78">
            <w:rPr>
              <w:rFonts w:cstheme="minorHAnsi"/>
              <w:color w:val="002060"/>
              <w:sz w:val="28"/>
              <w:szCs w:val="28"/>
              <w:u w:val="single"/>
            </w:rPr>
            <w:t>Nature de la réponse :</w:t>
          </w:r>
          <w:r w:rsidRPr="000F7A78">
            <w:rPr>
              <w:rFonts w:cstheme="minorHAnsi"/>
              <w:sz w:val="28"/>
              <w:szCs w:val="28"/>
            </w:rPr>
            <w:t xml:space="preserve"> Le potentiel de récepteur peut être le plus souvent  une dépolarisation sensoriels, mais dans certain cas il  peut être une hyperpolarisation.</w:t>
          </w:r>
        </w:p>
        <w:p w:rsidR="007841E7" w:rsidRPr="007841E7" w:rsidRDefault="002A37E8" w:rsidP="003A53AF">
          <w:pPr>
            <w:pStyle w:val="Paragraphedeliste"/>
            <w:numPr>
              <w:ilvl w:val="0"/>
              <w:numId w:val="108"/>
            </w:numPr>
            <w:spacing w:before="100" w:beforeAutospacing="1" w:after="100" w:afterAutospacing="1" w:line="360" w:lineRule="auto"/>
            <w:ind w:left="142" w:hanging="142"/>
            <w:jc w:val="both"/>
            <w:outlineLvl w:val="2"/>
          </w:pPr>
          <w:r w:rsidRPr="000F7A78"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  <w:t>Codage d’information </w:t>
          </w:r>
          <w:r w:rsidR="007841E7" w:rsidRPr="000F7A78">
            <w:rPr>
              <w:rFonts w:asciiTheme="majorHAnsi" w:eastAsiaTheme="minorHAnsi" w:hAnsiTheme="majorHAnsi" w:cstheme="minorHAnsi"/>
              <w:color w:val="002060"/>
              <w:sz w:val="28"/>
              <w:szCs w:val="28"/>
              <w:lang w:eastAsia="en-US"/>
            </w:rPr>
            <w:t>:</w:t>
          </w:r>
          <w:r w:rsidR="007841E7" w:rsidRPr="000F7A78">
            <w:rPr>
              <w:rFonts w:asciiTheme="majorHAnsi" w:hAnsiTheme="majorHAnsi"/>
              <w:color w:val="002060"/>
              <w:sz w:val="28"/>
              <w:szCs w:val="28"/>
            </w:rPr>
            <w:t xml:space="preserve"> </w:t>
          </w:r>
          <w:r w:rsidR="007841E7">
            <w:rPr>
              <w:rFonts w:asciiTheme="majorHAnsi" w:hAnsiTheme="majorHAnsi"/>
              <w:color w:val="002060"/>
              <w:sz w:val="28"/>
              <w:szCs w:val="28"/>
            </w:rPr>
            <w:t>Le</w:t>
          </w:r>
          <w:r w:rsidR="007841E7" w:rsidRPr="007841E7">
            <w:rPr>
              <w:rFonts w:asciiTheme="majorHAnsi" w:hAnsiTheme="majorHAnsi" w:cstheme="majorBidi"/>
              <w:sz w:val="24"/>
              <w:szCs w:val="24"/>
            </w:rPr>
            <w:t xml:space="preserve"> codage concerne ; </w:t>
          </w:r>
        </w:p>
        <w:p w:rsidR="007841E7" w:rsidRPr="008D4241" w:rsidRDefault="007841E7" w:rsidP="003A53AF">
          <w:pPr>
            <w:pStyle w:val="Paragraphedeliste"/>
            <w:numPr>
              <w:ilvl w:val="0"/>
              <w:numId w:val="3"/>
            </w:numPr>
            <w:spacing w:line="360" w:lineRule="auto"/>
            <w:jc w:val="both"/>
            <w:rPr>
              <w:color w:val="333333"/>
              <w:u w:val="single"/>
            </w:rPr>
          </w:pPr>
          <w:r w:rsidRPr="008D4241">
            <w:rPr>
              <w:rFonts w:asciiTheme="majorHAnsi" w:hAnsiTheme="majorHAnsi" w:cstheme="majorBidi"/>
              <w:i/>
              <w:iCs/>
              <w:color w:val="C00000"/>
              <w:sz w:val="24"/>
              <w:szCs w:val="24"/>
            </w:rPr>
            <w:t>Codage de modalités :</w:t>
          </w:r>
          <w:r w:rsidRPr="005B10D5">
            <w:rPr>
              <w:color w:val="333333"/>
            </w:rPr>
            <w:t xml:space="preserve"> </w:t>
          </w:r>
          <w:r w:rsidRPr="008D4241">
            <w:rPr>
              <w:rFonts w:asciiTheme="majorHAnsi" w:hAnsiTheme="majorHAnsi" w:cstheme="majorBidi"/>
              <w:sz w:val="24"/>
              <w:szCs w:val="24"/>
            </w:rPr>
            <w:t>est  déterminée par les propriétés des récepteurs concernés et par l’emplacement de leurs projections centrales.</w:t>
          </w:r>
        </w:p>
        <w:p w:rsidR="007841E7" w:rsidRPr="00B9722E" w:rsidRDefault="007841E7" w:rsidP="003A53AF">
          <w:pPr>
            <w:pStyle w:val="Paragraphedeliste"/>
            <w:numPr>
              <w:ilvl w:val="0"/>
              <w:numId w:val="3"/>
            </w:numPr>
            <w:spacing w:line="360" w:lineRule="auto"/>
            <w:jc w:val="both"/>
            <w:rPr>
              <w:rFonts w:asciiTheme="majorHAnsi" w:hAnsiTheme="majorHAnsi" w:cstheme="majorBidi"/>
              <w:sz w:val="24"/>
              <w:szCs w:val="24"/>
            </w:rPr>
          </w:pPr>
          <w:r w:rsidRPr="00B9722E">
            <w:rPr>
              <w:rFonts w:asciiTheme="majorHAnsi" w:hAnsiTheme="majorHAnsi" w:cstheme="majorBidi"/>
              <w:i/>
              <w:iCs/>
              <w:color w:val="C00000"/>
              <w:sz w:val="24"/>
              <w:szCs w:val="24"/>
            </w:rPr>
            <w:t>Codage de l’intensité :</w:t>
          </w:r>
          <w:r w:rsidRPr="00B9722E">
            <w:rPr>
              <w:rFonts w:asciiTheme="majorHAnsi" w:hAnsiTheme="majorHAnsi" w:cstheme="majorBidi"/>
              <w:sz w:val="24"/>
              <w:szCs w:val="24"/>
            </w:rPr>
            <w:t xml:space="preserve"> (aspect quantitatif), le codage de l’intensité se fait de deux manières :</w:t>
          </w:r>
        </w:p>
        <w:p w:rsidR="007841E7" w:rsidRPr="00B9722E" w:rsidRDefault="007841E7" w:rsidP="007841E7">
          <w:pPr>
            <w:pStyle w:val="Paragraphedeliste"/>
            <w:numPr>
              <w:ilvl w:val="1"/>
              <w:numId w:val="2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 w:cstheme="majorBidi"/>
              <w:sz w:val="24"/>
              <w:szCs w:val="24"/>
            </w:rPr>
          </w:pPr>
          <w:r w:rsidRPr="008D4241">
            <w:rPr>
              <w:rFonts w:asciiTheme="majorHAnsi" w:hAnsiTheme="majorHAnsi" w:cstheme="majorBidi"/>
              <w:i/>
              <w:iCs/>
              <w:sz w:val="24"/>
              <w:szCs w:val="24"/>
            </w:rPr>
            <w:t>Codage en amplitude du potentiel récepteur :</w:t>
          </w:r>
          <w:r w:rsidRPr="00B9722E">
            <w:rPr>
              <w:rFonts w:asciiTheme="majorHAnsi" w:hAnsiTheme="majorHAnsi" w:cstheme="majorBidi"/>
              <w:sz w:val="24"/>
              <w:szCs w:val="24"/>
            </w:rPr>
            <w:t xml:space="preserve"> Plus l’intensité de stimulation augmente, plus l’amplitude du potentiel récepteur augmente.</w:t>
          </w:r>
        </w:p>
        <w:p w:rsidR="007841E7" w:rsidRDefault="007841E7" w:rsidP="007841E7">
          <w:pPr>
            <w:pStyle w:val="Paragraphedeliste"/>
            <w:numPr>
              <w:ilvl w:val="1"/>
              <w:numId w:val="2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 w:cstheme="majorBidi"/>
              <w:sz w:val="24"/>
              <w:szCs w:val="24"/>
            </w:rPr>
          </w:pPr>
          <w:r w:rsidRPr="008D4241">
            <w:rPr>
              <w:rFonts w:asciiTheme="majorHAnsi" w:hAnsiTheme="majorHAnsi" w:cstheme="majorBidi"/>
              <w:i/>
              <w:iCs/>
              <w:sz w:val="24"/>
              <w:szCs w:val="24"/>
            </w:rPr>
            <w:t>Codage en fréquence de potentiel d’action :</w:t>
          </w:r>
          <w:r w:rsidRPr="00B9722E">
            <w:rPr>
              <w:rFonts w:asciiTheme="majorHAnsi" w:hAnsiTheme="majorHAnsi" w:cstheme="majorBidi"/>
              <w:sz w:val="24"/>
              <w:szCs w:val="24"/>
            </w:rPr>
            <w:t xml:space="preserve"> Plus l’intensité de stimulation augmente, plus la fréquence de décharges des PA  augmentent.</w:t>
          </w:r>
        </w:p>
        <w:p w:rsidR="007841E7" w:rsidRPr="00B9722E" w:rsidRDefault="007841E7" w:rsidP="007841E7">
          <w:pPr>
            <w:pStyle w:val="Paragraphedeliste"/>
            <w:spacing w:before="100" w:beforeAutospacing="1" w:after="100" w:afterAutospacing="1" w:line="360" w:lineRule="auto"/>
            <w:ind w:left="1440"/>
            <w:jc w:val="both"/>
            <w:outlineLvl w:val="2"/>
            <w:rPr>
              <w:rFonts w:asciiTheme="majorHAnsi" w:hAnsiTheme="majorHAnsi" w:cstheme="majorBidi"/>
              <w:sz w:val="24"/>
              <w:szCs w:val="24"/>
            </w:rPr>
          </w:pPr>
          <w:r w:rsidRPr="004A731F">
            <w:rPr>
              <w:rFonts w:asciiTheme="majorHAnsi" w:hAnsiTheme="majorHAnsi" w:cstheme="majorBidi"/>
              <w:i/>
              <w:iCs/>
              <w:noProof/>
              <w:sz w:val="24"/>
              <w:szCs w:val="24"/>
            </w:rPr>
            <w:lastRenderedPageBreak/>
            <w:drawing>
              <wp:inline distT="0" distB="0" distL="0" distR="0">
                <wp:extent cx="3425522" cy="1915006"/>
                <wp:effectExtent l="57150" t="19050" r="117778" b="104294"/>
                <wp:docPr id="9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5522" cy="1915006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7841E7" w:rsidRDefault="007841E7" w:rsidP="003A53AF">
          <w:pPr>
            <w:pStyle w:val="Paragraphedeliste"/>
            <w:numPr>
              <w:ilvl w:val="0"/>
              <w:numId w:val="3"/>
            </w:numPr>
            <w:spacing w:line="360" w:lineRule="auto"/>
            <w:jc w:val="both"/>
            <w:rPr>
              <w:rFonts w:asciiTheme="majorHAnsi" w:hAnsiTheme="majorHAnsi" w:cstheme="majorBidi"/>
              <w:sz w:val="24"/>
              <w:szCs w:val="24"/>
            </w:rPr>
          </w:pPr>
          <w:r w:rsidRPr="00B9722E">
            <w:rPr>
              <w:rFonts w:asciiTheme="majorHAnsi" w:hAnsiTheme="majorHAnsi" w:cstheme="majorBidi"/>
              <w:i/>
              <w:iCs/>
              <w:color w:val="C00000"/>
              <w:sz w:val="24"/>
              <w:szCs w:val="24"/>
            </w:rPr>
            <w:t>Codage de la durée:</w:t>
          </w:r>
          <w:r w:rsidRPr="00B9722E">
            <w:rPr>
              <w:rFonts w:asciiTheme="majorHAnsi" w:hAnsiTheme="majorHAnsi" w:cstheme="majorBidi"/>
              <w:sz w:val="24"/>
              <w:szCs w:val="24"/>
            </w:rPr>
            <w:t xml:space="preserve"> le codage de la duré dépend du type de récepteur ;  à adaptation rapide (phasique) ou  à adaptation lente (tonique). </w:t>
          </w:r>
          <w:r w:rsidRPr="004A731F">
            <w:rPr>
              <w:rFonts w:asciiTheme="majorHAnsi" w:hAnsiTheme="majorHAnsi" w:cstheme="majorBidi"/>
              <w:noProof/>
              <w:sz w:val="24"/>
              <w:szCs w:val="24"/>
            </w:rPr>
            <w:drawing>
              <wp:inline distT="0" distB="0" distL="0" distR="0">
                <wp:extent cx="2831321" cy="1428087"/>
                <wp:effectExtent l="57150" t="19050" r="121429" b="95913"/>
                <wp:docPr id="9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1082" cy="1427966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7841E7" w:rsidRPr="005729AD" w:rsidRDefault="007841E7" w:rsidP="003A53AF">
          <w:pPr>
            <w:numPr>
              <w:ilvl w:val="0"/>
              <w:numId w:val="3"/>
            </w:numPr>
            <w:spacing w:after="0" w:line="360" w:lineRule="auto"/>
            <w:jc w:val="both"/>
            <w:rPr>
              <w:rFonts w:asciiTheme="majorHAnsi" w:eastAsia="Times New Roman" w:hAnsiTheme="majorHAnsi" w:cstheme="majorBidi"/>
              <w:i/>
              <w:iCs/>
              <w:color w:val="C00000"/>
              <w:sz w:val="24"/>
              <w:szCs w:val="24"/>
            </w:rPr>
          </w:pPr>
          <w:r w:rsidRPr="008D4241">
            <w:rPr>
              <w:rFonts w:asciiTheme="majorHAnsi" w:eastAsia="Times New Roman" w:hAnsiTheme="majorHAnsi" w:cstheme="majorBidi"/>
              <w:i/>
              <w:iCs/>
              <w:color w:val="C00000"/>
              <w:sz w:val="24"/>
              <w:szCs w:val="24"/>
            </w:rPr>
            <w:t xml:space="preserve">Codage </w:t>
          </w:r>
          <w:r>
            <w:rPr>
              <w:rFonts w:asciiTheme="majorHAnsi" w:eastAsia="Times New Roman" w:hAnsiTheme="majorHAnsi" w:cstheme="majorBidi"/>
              <w:i/>
              <w:iCs/>
              <w:color w:val="C00000"/>
              <w:sz w:val="24"/>
              <w:szCs w:val="24"/>
            </w:rPr>
            <w:t>de l</w:t>
          </w:r>
          <w:r w:rsidRPr="008D4241">
            <w:rPr>
              <w:rFonts w:asciiTheme="majorHAnsi" w:eastAsia="Times New Roman" w:hAnsiTheme="majorHAnsi" w:cstheme="majorBidi"/>
              <w:i/>
              <w:iCs/>
              <w:color w:val="C00000"/>
              <w:sz w:val="24"/>
              <w:szCs w:val="24"/>
            </w:rPr>
            <w:t xml:space="preserve">a localisation : </w:t>
          </w:r>
          <w:r w:rsidRPr="005729AD">
            <w:rPr>
              <w:rFonts w:asciiTheme="majorHAnsi" w:eastAsia="Times New Roman" w:hAnsiTheme="majorHAnsi" w:cstheme="majorBidi"/>
              <w:sz w:val="24"/>
              <w:szCs w:val="24"/>
            </w:rPr>
            <w:t>Déterminé par :</w:t>
          </w:r>
        </w:p>
        <w:p w:rsidR="007841E7" w:rsidRPr="005729AD" w:rsidRDefault="007841E7" w:rsidP="007841E7">
          <w:pPr>
            <w:pStyle w:val="Paragraphedeliste"/>
            <w:numPr>
              <w:ilvl w:val="1"/>
              <w:numId w:val="2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 w:cstheme="majorBidi"/>
              <w:i/>
              <w:iCs/>
              <w:sz w:val="24"/>
              <w:szCs w:val="24"/>
            </w:rPr>
          </w:pPr>
          <w:r w:rsidRPr="005729AD">
            <w:rPr>
              <w:rFonts w:asciiTheme="majorHAnsi" w:hAnsiTheme="majorHAnsi" w:cstheme="majorBidi"/>
              <w:i/>
              <w:iCs/>
              <w:sz w:val="24"/>
              <w:szCs w:val="24"/>
            </w:rPr>
            <w:t xml:space="preserve">Le champ récepteur : </w:t>
          </w:r>
          <w:r w:rsidRPr="00360818">
            <w:rPr>
              <w:rFonts w:asciiTheme="majorHAnsi" w:hAnsiTheme="majorHAnsi" w:cstheme="majorBidi"/>
              <w:sz w:val="24"/>
              <w:szCs w:val="24"/>
            </w:rPr>
            <w:t xml:space="preserve">qui est la zone sensorielle qui modifie l’activité d’un neurone lorsqu’elle est stimulée. </w:t>
          </w:r>
        </w:p>
        <w:p w:rsidR="007841E7" w:rsidRDefault="007841E7" w:rsidP="007841E7">
          <w:pPr>
            <w:pStyle w:val="Paragraphedeliste"/>
            <w:numPr>
              <w:ilvl w:val="1"/>
              <w:numId w:val="2"/>
            </w:numPr>
            <w:spacing w:before="100" w:beforeAutospacing="1" w:after="100" w:afterAutospacing="1" w:line="360" w:lineRule="auto"/>
            <w:jc w:val="both"/>
            <w:outlineLvl w:val="2"/>
            <w:rPr>
              <w:rFonts w:asciiTheme="majorHAnsi" w:hAnsiTheme="majorHAnsi" w:cstheme="majorBidi"/>
              <w:i/>
              <w:iCs/>
              <w:sz w:val="24"/>
              <w:szCs w:val="24"/>
            </w:rPr>
          </w:pPr>
          <w:r w:rsidRPr="005729AD">
            <w:rPr>
              <w:rFonts w:asciiTheme="majorHAnsi" w:hAnsiTheme="majorHAnsi" w:cstheme="majorBidi"/>
              <w:i/>
              <w:iCs/>
              <w:sz w:val="24"/>
              <w:szCs w:val="24"/>
            </w:rPr>
            <w:t xml:space="preserve">L’inhibition latérale : </w:t>
          </w:r>
          <w:r w:rsidRPr="00360818">
            <w:rPr>
              <w:rFonts w:asciiTheme="majorHAnsi" w:hAnsiTheme="majorHAnsi" w:cstheme="majorBidi"/>
              <w:sz w:val="24"/>
              <w:szCs w:val="24"/>
            </w:rPr>
            <w:t>qui est un mécanisme qui assure la précision ;  qui  signifie que chaque deux points de stimulation proches s’inhibent réciproquement au cours de leur trajet dans les relais nerveux.</w:t>
          </w:r>
          <w:r w:rsidRPr="005729AD">
            <w:rPr>
              <w:rFonts w:asciiTheme="majorHAnsi" w:hAnsiTheme="majorHAnsi" w:cstheme="majorBidi"/>
              <w:i/>
              <w:iCs/>
              <w:sz w:val="24"/>
              <w:szCs w:val="24"/>
            </w:rPr>
            <w:t xml:space="preserve"> </w:t>
          </w:r>
        </w:p>
        <w:p w:rsidR="008847BD" w:rsidRDefault="008847BD" w:rsidP="007841E7">
          <w:pPr>
            <w:pStyle w:val="Paragraphedeliste"/>
            <w:spacing w:before="100" w:beforeAutospacing="1" w:after="100" w:afterAutospacing="1" w:line="360" w:lineRule="auto"/>
            <w:ind w:left="1440"/>
            <w:jc w:val="both"/>
            <w:outlineLvl w:val="2"/>
            <w:rPr>
              <w:noProof/>
            </w:rPr>
          </w:pPr>
        </w:p>
        <w:p w:rsidR="008847BD" w:rsidRDefault="008847BD" w:rsidP="007841E7">
          <w:pPr>
            <w:pStyle w:val="Paragraphedeliste"/>
            <w:spacing w:before="100" w:beforeAutospacing="1" w:after="100" w:afterAutospacing="1" w:line="360" w:lineRule="auto"/>
            <w:ind w:left="1440"/>
            <w:jc w:val="both"/>
            <w:outlineLvl w:val="2"/>
            <w:rPr>
              <w:noProof/>
            </w:rPr>
          </w:pPr>
        </w:p>
        <w:p w:rsidR="007841E7" w:rsidRPr="007841E7" w:rsidRDefault="007841E7" w:rsidP="007841E7">
          <w:pPr>
            <w:pStyle w:val="Paragraphedeliste"/>
            <w:spacing w:before="100" w:beforeAutospacing="1" w:after="100" w:afterAutospacing="1" w:line="360" w:lineRule="auto"/>
            <w:ind w:left="1440"/>
            <w:jc w:val="both"/>
            <w:outlineLvl w:val="2"/>
            <w:rPr>
              <w:rFonts w:asciiTheme="majorHAnsi" w:hAnsiTheme="majorHAnsi" w:cstheme="majorBidi"/>
              <w:i/>
              <w:iCs/>
              <w:sz w:val="24"/>
              <w:szCs w:val="24"/>
            </w:rPr>
          </w:pPr>
          <w:r w:rsidRPr="004A731F">
            <w:rPr>
              <w:noProof/>
            </w:rPr>
            <w:drawing>
              <wp:inline distT="0" distB="0" distL="0" distR="0">
                <wp:extent cx="3191323" cy="1971583"/>
                <wp:effectExtent l="57150" t="19050" r="123377" b="85817"/>
                <wp:docPr id="97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3752" cy="1973083"/>
                        </a:xfrm>
                        <a:prstGeom prst="rect">
                          <a:avLst/>
                        </a:prstGeom>
                        <a:ln w="12700" cap="sq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7150" dist="508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7841E7" w:rsidRPr="008847BD" w:rsidRDefault="00BA35B3" w:rsidP="008847BD">
          <w:pP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</w:pPr>
          <w: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  <w:br w:type="page"/>
          </w:r>
        </w:p>
      </w:sdtContent>
    </w:sdt>
    <w:sectPr w:rsidR="007841E7" w:rsidRPr="008847BD" w:rsidSect="00F4531F">
      <w:headerReference w:type="default" r:id="rId16"/>
      <w:footerReference w:type="default" r:id="rId17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38" w:rsidRDefault="00C82E38" w:rsidP="00F633ED">
      <w:pPr>
        <w:spacing w:after="0" w:line="240" w:lineRule="auto"/>
      </w:pPr>
      <w:r>
        <w:separator/>
      </w:r>
    </w:p>
  </w:endnote>
  <w:endnote w:type="continuationSeparator" w:id="1">
    <w:p w:rsidR="00C82E38" w:rsidRDefault="00C82E38" w:rsidP="00F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61"/>
      <w:docPartObj>
        <w:docPartGallery w:val="Page Numbers (Bottom of Page)"/>
        <w:docPartUnique/>
      </w:docPartObj>
    </w:sdtPr>
    <w:sdtContent>
      <w:p w:rsidR="002A37E8" w:rsidRDefault="0091796F">
        <w:pPr>
          <w:pStyle w:val="Pieddepage"/>
          <w:jc w:val="center"/>
        </w:pPr>
        <w:fldSimple w:instr=" PAGE   \* MERGEFORMAT ">
          <w:r w:rsidR="00F51644">
            <w:rPr>
              <w:noProof/>
            </w:rPr>
            <w:t>2</w:t>
          </w:r>
        </w:fldSimple>
      </w:p>
    </w:sdtContent>
  </w:sdt>
  <w:p w:rsidR="002A37E8" w:rsidRDefault="002A37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38" w:rsidRDefault="00C82E38" w:rsidP="00F633ED">
      <w:pPr>
        <w:spacing w:after="0" w:line="240" w:lineRule="auto"/>
      </w:pPr>
      <w:r>
        <w:separator/>
      </w:r>
    </w:p>
  </w:footnote>
  <w:footnote w:type="continuationSeparator" w:id="1">
    <w:p w:rsidR="00C82E38" w:rsidRDefault="00C82E38" w:rsidP="00F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Pr="00F2417A" w:rsidRDefault="002A37E8" w:rsidP="00F633ED">
    <w:pPr>
      <w:pStyle w:val="En-tte"/>
      <w:pBdr>
        <w:bottom w:val="single" w:sz="4" w:space="1" w:color="auto"/>
      </w:pBdr>
      <w:jc w:val="right"/>
      <w:rPr>
        <w:rFonts w:ascii="Monotype Corsiva" w:hAnsi="Monotype Corsiva"/>
        <w:sz w:val="24"/>
        <w:szCs w:val="24"/>
      </w:rPr>
    </w:pPr>
    <w:r w:rsidRPr="00F2417A">
      <w:rPr>
        <w:rFonts w:ascii="Monotype Corsiva" w:hAnsi="Monotype Corsiva"/>
        <w:sz w:val="24"/>
        <w:szCs w:val="24"/>
      </w:rPr>
      <w:t xml:space="preserve">Dr </w:t>
    </w:r>
    <w:r>
      <w:rPr>
        <w:rFonts w:ascii="Monotype Corsiva" w:hAnsi="Monotype Corsiva"/>
        <w:sz w:val="24"/>
        <w:szCs w:val="24"/>
      </w:rPr>
      <w:t>A.</w:t>
    </w:r>
    <w:r w:rsidRPr="00F2417A">
      <w:rPr>
        <w:rFonts w:ascii="Monotype Corsiva" w:hAnsi="Monotype Corsiva"/>
        <w:sz w:val="24"/>
        <w:szCs w:val="24"/>
      </w:rPr>
      <w:t xml:space="preserve"> Benahmed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0"/>
    <w:multiLevelType w:val="hybridMultilevel"/>
    <w:tmpl w:val="CACCB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60D7"/>
    <w:multiLevelType w:val="hybridMultilevel"/>
    <w:tmpl w:val="0994F284"/>
    <w:lvl w:ilvl="0" w:tplc="C81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B1EB6"/>
    <w:multiLevelType w:val="hybridMultilevel"/>
    <w:tmpl w:val="336411E4"/>
    <w:lvl w:ilvl="0" w:tplc="040C001B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250DF"/>
    <w:multiLevelType w:val="hybridMultilevel"/>
    <w:tmpl w:val="7AB2944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8265FE"/>
    <w:multiLevelType w:val="hybridMultilevel"/>
    <w:tmpl w:val="ABB0324E"/>
    <w:lvl w:ilvl="0" w:tplc="26A29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2D026CC"/>
    <w:multiLevelType w:val="hybridMultilevel"/>
    <w:tmpl w:val="A32EC82A"/>
    <w:lvl w:ilvl="0" w:tplc="82D234E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AE630F"/>
    <w:multiLevelType w:val="hybridMultilevel"/>
    <w:tmpl w:val="2DEC0BFA"/>
    <w:lvl w:ilvl="0" w:tplc="D20A47B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Calibri" w:hint="default"/>
        <w:b w:val="0"/>
        <w:bCs w:val="0"/>
        <w:i w:val="0"/>
        <w:iCs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20395A"/>
    <w:multiLevelType w:val="hybridMultilevel"/>
    <w:tmpl w:val="1A36E9E2"/>
    <w:lvl w:ilvl="0" w:tplc="1B061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E203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62735D5"/>
    <w:multiLevelType w:val="hybridMultilevel"/>
    <w:tmpl w:val="E1D2C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F28AB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4338E"/>
    <w:multiLevelType w:val="multilevel"/>
    <w:tmpl w:val="5BD2203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-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07E751CE"/>
    <w:multiLevelType w:val="hybridMultilevel"/>
    <w:tmpl w:val="1CC66334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5D608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0A5929FC"/>
    <w:multiLevelType w:val="hybridMultilevel"/>
    <w:tmpl w:val="316C7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77B5C"/>
    <w:multiLevelType w:val="hybridMultilevel"/>
    <w:tmpl w:val="A9D2914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9637C9"/>
    <w:multiLevelType w:val="hybridMultilevel"/>
    <w:tmpl w:val="6EB48476"/>
    <w:lvl w:ilvl="0" w:tplc="063C89D4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063F8"/>
    <w:multiLevelType w:val="hybridMultilevel"/>
    <w:tmpl w:val="1C846CE4"/>
    <w:lvl w:ilvl="0" w:tplc="6570F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C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83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3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82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2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AB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568BB"/>
    <w:multiLevelType w:val="hybridMultilevel"/>
    <w:tmpl w:val="78FCDE2C"/>
    <w:lvl w:ilvl="0" w:tplc="FE70B7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D526A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0DEE1F78"/>
    <w:multiLevelType w:val="hybridMultilevel"/>
    <w:tmpl w:val="E4B22278"/>
    <w:lvl w:ilvl="0" w:tplc="6570F6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104B43B4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064082E"/>
    <w:multiLevelType w:val="hybridMultilevel"/>
    <w:tmpl w:val="001C6EF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0B05D83"/>
    <w:multiLevelType w:val="hybridMultilevel"/>
    <w:tmpl w:val="EDB25534"/>
    <w:lvl w:ilvl="0" w:tplc="0492A9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11786021"/>
    <w:multiLevelType w:val="hybridMultilevel"/>
    <w:tmpl w:val="510A7C08"/>
    <w:lvl w:ilvl="0" w:tplc="A3AEDB52">
      <w:start w:val="1"/>
      <w:numFmt w:val="lowerLetter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471553B"/>
    <w:multiLevelType w:val="hybridMultilevel"/>
    <w:tmpl w:val="180E3186"/>
    <w:lvl w:ilvl="0" w:tplc="727C8DA8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4886B25"/>
    <w:multiLevelType w:val="hybridMultilevel"/>
    <w:tmpl w:val="4FAC1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B3460F"/>
    <w:multiLevelType w:val="hybridMultilevel"/>
    <w:tmpl w:val="06F65DB6"/>
    <w:lvl w:ilvl="0" w:tplc="82EAF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EB786E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193076B7"/>
    <w:multiLevelType w:val="hybridMultilevel"/>
    <w:tmpl w:val="FD0EC3E8"/>
    <w:lvl w:ilvl="0" w:tplc="24FC5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E4622"/>
    <w:multiLevelType w:val="hybridMultilevel"/>
    <w:tmpl w:val="5EE6227E"/>
    <w:lvl w:ilvl="0" w:tplc="80EE8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7B21DD"/>
    <w:multiLevelType w:val="hybridMultilevel"/>
    <w:tmpl w:val="94BC9DD2"/>
    <w:lvl w:ilvl="0" w:tplc="CCC4F6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1352481"/>
    <w:multiLevelType w:val="hybridMultilevel"/>
    <w:tmpl w:val="CB146A40"/>
    <w:lvl w:ilvl="0" w:tplc="7340FEBE">
      <w:start w:val="1"/>
      <w:numFmt w:val="lowerLetter"/>
      <w:lvlText w:val="%1."/>
      <w:lvlJc w:val="left"/>
      <w:pPr>
        <w:ind w:left="644" w:hanging="360"/>
      </w:pPr>
      <w:rPr>
        <w:b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2431AF6"/>
    <w:multiLevelType w:val="hybridMultilevel"/>
    <w:tmpl w:val="10FACE3C"/>
    <w:lvl w:ilvl="0" w:tplc="7AF0B75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8618A7"/>
    <w:multiLevelType w:val="hybridMultilevel"/>
    <w:tmpl w:val="EF08C9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E901D6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022CA"/>
    <w:multiLevelType w:val="hybridMultilevel"/>
    <w:tmpl w:val="64C07B22"/>
    <w:lvl w:ilvl="0" w:tplc="235A864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4FF75AC"/>
    <w:multiLevelType w:val="hybridMultilevel"/>
    <w:tmpl w:val="921CB7C8"/>
    <w:lvl w:ilvl="0" w:tplc="04102EAE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2C6F1F"/>
    <w:multiLevelType w:val="hybridMultilevel"/>
    <w:tmpl w:val="9496A55C"/>
    <w:lvl w:ilvl="0" w:tplc="4830DC4E">
      <w:start w:val="1"/>
      <w:numFmt w:val="ordinal"/>
      <w:lvlText w:val="%1)"/>
      <w:lvlJc w:val="left"/>
      <w:pPr>
        <w:ind w:left="14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9">
    <w:nsid w:val="28364E53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28B02655"/>
    <w:multiLevelType w:val="multilevel"/>
    <w:tmpl w:val="F9888B6A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3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29D873E2"/>
    <w:multiLevelType w:val="hybridMultilevel"/>
    <w:tmpl w:val="99DE5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371C87"/>
    <w:multiLevelType w:val="hybridMultilevel"/>
    <w:tmpl w:val="57A6CF0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2A6293"/>
    <w:multiLevelType w:val="hybridMultilevel"/>
    <w:tmpl w:val="CF42C0E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39718B"/>
    <w:multiLevelType w:val="hybridMultilevel"/>
    <w:tmpl w:val="47248182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5D6DCD"/>
    <w:multiLevelType w:val="hybridMultilevel"/>
    <w:tmpl w:val="6CAA1AD8"/>
    <w:lvl w:ilvl="0" w:tplc="963A95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E996040"/>
    <w:multiLevelType w:val="hybridMultilevel"/>
    <w:tmpl w:val="680E71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9A74DF"/>
    <w:multiLevelType w:val="hybridMultilevel"/>
    <w:tmpl w:val="DA684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42119C"/>
    <w:multiLevelType w:val="hybridMultilevel"/>
    <w:tmpl w:val="8E10A5F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B12BD8"/>
    <w:multiLevelType w:val="hybridMultilevel"/>
    <w:tmpl w:val="6F8E1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E20B9B"/>
    <w:multiLevelType w:val="hybridMultilevel"/>
    <w:tmpl w:val="F698EF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9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36867E9"/>
    <w:multiLevelType w:val="hybridMultilevel"/>
    <w:tmpl w:val="55D8A9F6"/>
    <w:lvl w:ilvl="0" w:tplc="E0DAC6C8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1A0162"/>
    <w:multiLevelType w:val="hybridMultilevel"/>
    <w:tmpl w:val="29DC2550"/>
    <w:lvl w:ilvl="0" w:tplc="B204D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781FF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356740"/>
    <w:multiLevelType w:val="hybridMultilevel"/>
    <w:tmpl w:val="B50E60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6F74EAD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FF6223"/>
    <w:multiLevelType w:val="hybridMultilevel"/>
    <w:tmpl w:val="49081DD6"/>
    <w:lvl w:ilvl="0" w:tplc="0862F96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8B6243"/>
    <w:multiLevelType w:val="hybridMultilevel"/>
    <w:tmpl w:val="908496AC"/>
    <w:lvl w:ilvl="0" w:tplc="040C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b/>
        <w:bCs/>
        <w:color w:val="C00000"/>
      </w:rPr>
    </w:lvl>
    <w:lvl w:ilvl="1" w:tplc="040C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8">
    <w:nsid w:val="38B1271D"/>
    <w:multiLevelType w:val="hybridMultilevel"/>
    <w:tmpl w:val="19E239D4"/>
    <w:lvl w:ilvl="0" w:tplc="C35057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8E30FA0"/>
    <w:multiLevelType w:val="hybridMultilevel"/>
    <w:tmpl w:val="ABEAA6D6"/>
    <w:lvl w:ilvl="0" w:tplc="30C8C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9BB083E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6A209C"/>
    <w:multiLevelType w:val="hybridMultilevel"/>
    <w:tmpl w:val="7EC83B7A"/>
    <w:lvl w:ilvl="0" w:tplc="0A884C9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B6B3FD9"/>
    <w:multiLevelType w:val="hybridMultilevel"/>
    <w:tmpl w:val="27B81A80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74765C"/>
    <w:multiLevelType w:val="hybridMultilevel"/>
    <w:tmpl w:val="0FD6D234"/>
    <w:lvl w:ilvl="0" w:tplc="80EE8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29E1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color w:val="auto"/>
        <w:sz w:val="20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DCB43A8"/>
    <w:multiLevelType w:val="hybridMultilevel"/>
    <w:tmpl w:val="810C112E"/>
    <w:lvl w:ilvl="0" w:tplc="F9E09F3C">
      <w:start w:val="1"/>
      <w:numFmt w:val="ordin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3FA722A1"/>
    <w:multiLevelType w:val="hybridMultilevel"/>
    <w:tmpl w:val="5440B082"/>
    <w:lvl w:ilvl="0" w:tplc="1C38E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37E1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A302A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EC0A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8C1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3422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E8A05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3160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2783E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6">
    <w:nsid w:val="407A3868"/>
    <w:multiLevelType w:val="hybridMultilevel"/>
    <w:tmpl w:val="5C7A461A"/>
    <w:lvl w:ilvl="0" w:tplc="DC2E49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40DE4565"/>
    <w:multiLevelType w:val="hybridMultilevel"/>
    <w:tmpl w:val="9D22C902"/>
    <w:lvl w:ilvl="0" w:tplc="10ACD1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41E707E0"/>
    <w:multiLevelType w:val="hybridMultilevel"/>
    <w:tmpl w:val="8DB4A858"/>
    <w:lvl w:ilvl="0" w:tplc="6DEEA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264380D"/>
    <w:multiLevelType w:val="hybridMultilevel"/>
    <w:tmpl w:val="2AD0B6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F03886"/>
    <w:multiLevelType w:val="hybridMultilevel"/>
    <w:tmpl w:val="38DA952E"/>
    <w:lvl w:ilvl="0" w:tplc="69FC4B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3FD14A3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>
    <w:nsid w:val="4406675D"/>
    <w:multiLevelType w:val="hybridMultilevel"/>
    <w:tmpl w:val="E01E61DC"/>
    <w:lvl w:ilvl="0" w:tplc="8A4A9A8C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973A14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8552BCC"/>
    <w:multiLevelType w:val="hybridMultilevel"/>
    <w:tmpl w:val="3CC26930"/>
    <w:lvl w:ilvl="0" w:tplc="C7FEFA8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8617535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A82A06"/>
    <w:multiLevelType w:val="hybridMultilevel"/>
    <w:tmpl w:val="B67C2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642283"/>
    <w:multiLevelType w:val="hybridMultilevel"/>
    <w:tmpl w:val="878A2FFA"/>
    <w:lvl w:ilvl="0" w:tplc="1036692A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C261B19"/>
    <w:multiLevelType w:val="hybridMultilevel"/>
    <w:tmpl w:val="6A1C1FF4"/>
    <w:lvl w:ilvl="0" w:tplc="30C8C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FD3CFC"/>
    <w:multiLevelType w:val="hybridMultilevel"/>
    <w:tmpl w:val="7C9E374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4D8C2950"/>
    <w:multiLevelType w:val="hybridMultilevel"/>
    <w:tmpl w:val="34FAB14A"/>
    <w:lvl w:ilvl="0" w:tplc="DC8C786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E320E4C"/>
    <w:multiLevelType w:val="hybridMultilevel"/>
    <w:tmpl w:val="A7E8046E"/>
    <w:lvl w:ilvl="0" w:tplc="7376F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275D48"/>
    <w:multiLevelType w:val="hybridMultilevel"/>
    <w:tmpl w:val="D42408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3A3B3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B09E9"/>
    <w:multiLevelType w:val="hybridMultilevel"/>
    <w:tmpl w:val="A7887A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20E239E"/>
    <w:multiLevelType w:val="hybridMultilevel"/>
    <w:tmpl w:val="35B8366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28B5F53"/>
    <w:multiLevelType w:val="hybridMultilevel"/>
    <w:tmpl w:val="7034EAAE"/>
    <w:lvl w:ilvl="0" w:tplc="DC2E4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2A42E4D"/>
    <w:multiLevelType w:val="hybridMultilevel"/>
    <w:tmpl w:val="DB5CE2BC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52BA5DC2"/>
    <w:multiLevelType w:val="hybridMultilevel"/>
    <w:tmpl w:val="DC8CA172"/>
    <w:lvl w:ilvl="0" w:tplc="0B4CCD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3BC0D18"/>
    <w:multiLevelType w:val="hybridMultilevel"/>
    <w:tmpl w:val="C5C802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CA3174"/>
    <w:multiLevelType w:val="hybridMultilevel"/>
    <w:tmpl w:val="BFFA811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CC7FD0"/>
    <w:multiLevelType w:val="hybridMultilevel"/>
    <w:tmpl w:val="2BAE095E"/>
    <w:lvl w:ilvl="0" w:tplc="9A148F2A">
      <w:start w:val="1"/>
      <w:numFmt w:val="lowerLetter"/>
      <w:lvlText w:val="%1."/>
      <w:lvlJc w:val="left"/>
      <w:pPr>
        <w:ind w:left="1068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5BB1F9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55CE11F9"/>
    <w:multiLevelType w:val="hybridMultilevel"/>
    <w:tmpl w:val="94248BD0"/>
    <w:lvl w:ilvl="0" w:tplc="2EEC5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57371DBB"/>
    <w:multiLevelType w:val="hybridMultilevel"/>
    <w:tmpl w:val="60868F00"/>
    <w:lvl w:ilvl="0" w:tplc="69FC4B8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7F2498"/>
    <w:multiLevelType w:val="hybridMultilevel"/>
    <w:tmpl w:val="4754B0F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C7D037F"/>
    <w:multiLevelType w:val="hybridMultilevel"/>
    <w:tmpl w:val="0CC0948E"/>
    <w:lvl w:ilvl="0" w:tplc="7640FD92">
      <w:start w:val="1"/>
      <w:numFmt w:val="decimal"/>
      <w:lvlText w:val="%1."/>
      <w:lvlJc w:val="left"/>
      <w:pPr>
        <w:ind w:left="720" w:hanging="360"/>
      </w:pPr>
      <w:rPr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0977C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60903A91"/>
    <w:multiLevelType w:val="hybridMultilevel"/>
    <w:tmpl w:val="11B24756"/>
    <w:lvl w:ilvl="0" w:tplc="FA203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0F3B15"/>
    <w:multiLevelType w:val="hybridMultilevel"/>
    <w:tmpl w:val="455AE82A"/>
    <w:lvl w:ilvl="0" w:tplc="6570F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2060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0">
    <w:nsid w:val="61F42131"/>
    <w:multiLevelType w:val="hybridMultilevel"/>
    <w:tmpl w:val="E07CBAF4"/>
    <w:lvl w:ilvl="0" w:tplc="BFD01C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09C9D5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64FA0E70"/>
    <w:multiLevelType w:val="hybridMultilevel"/>
    <w:tmpl w:val="00063F7E"/>
    <w:lvl w:ilvl="0" w:tplc="0FB022A4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03694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937290"/>
    <w:multiLevelType w:val="hybridMultilevel"/>
    <w:tmpl w:val="F804686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CB2671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4D31CB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6963539D"/>
    <w:multiLevelType w:val="hybridMultilevel"/>
    <w:tmpl w:val="CB2835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907341"/>
    <w:multiLevelType w:val="hybridMultilevel"/>
    <w:tmpl w:val="30ACA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BC2AA5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0666D4"/>
    <w:multiLevelType w:val="hybridMultilevel"/>
    <w:tmpl w:val="662C27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760D1A5B"/>
    <w:multiLevelType w:val="hybridMultilevel"/>
    <w:tmpl w:val="7988DD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76DB6F75"/>
    <w:multiLevelType w:val="hybridMultilevel"/>
    <w:tmpl w:val="4770EDD6"/>
    <w:lvl w:ilvl="0" w:tplc="EE48E4A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72179A9"/>
    <w:multiLevelType w:val="hybridMultilevel"/>
    <w:tmpl w:val="4268F9E2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>
    <w:nsid w:val="775B266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4">
    <w:nsid w:val="78256BD6"/>
    <w:multiLevelType w:val="hybridMultilevel"/>
    <w:tmpl w:val="B1CEC890"/>
    <w:lvl w:ilvl="0" w:tplc="F390909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9452121"/>
    <w:multiLevelType w:val="hybridMultilevel"/>
    <w:tmpl w:val="C41E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6860D9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9FF0423"/>
    <w:multiLevelType w:val="hybridMultilevel"/>
    <w:tmpl w:val="9168CBB2"/>
    <w:lvl w:ilvl="0" w:tplc="21CA99AA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7C1E6ACC"/>
    <w:multiLevelType w:val="hybridMultilevel"/>
    <w:tmpl w:val="75B2A0A8"/>
    <w:lvl w:ilvl="0" w:tplc="F69C53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CCA1BEC"/>
    <w:multiLevelType w:val="hybridMultilevel"/>
    <w:tmpl w:val="142427CA"/>
    <w:lvl w:ilvl="0" w:tplc="B2C260C2">
      <w:start w:val="1"/>
      <w:numFmt w:val="upp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991B53"/>
    <w:multiLevelType w:val="hybridMultilevel"/>
    <w:tmpl w:val="574E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>
    <w:nsid w:val="7FF70017"/>
    <w:multiLevelType w:val="hybridMultilevel"/>
    <w:tmpl w:val="1D06C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72"/>
  </w:num>
  <w:num w:numId="4">
    <w:abstractNumId w:val="57"/>
  </w:num>
  <w:num w:numId="5">
    <w:abstractNumId w:val="89"/>
  </w:num>
  <w:num w:numId="6">
    <w:abstractNumId w:val="80"/>
  </w:num>
  <w:num w:numId="7">
    <w:abstractNumId w:val="99"/>
  </w:num>
  <w:num w:numId="8">
    <w:abstractNumId w:val="50"/>
  </w:num>
  <w:num w:numId="9">
    <w:abstractNumId w:val="95"/>
  </w:num>
  <w:num w:numId="10">
    <w:abstractNumId w:val="2"/>
  </w:num>
  <w:num w:numId="11">
    <w:abstractNumId w:val="103"/>
  </w:num>
  <w:num w:numId="12">
    <w:abstractNumId w:val="100"/>
  </w:num>
  <w:num w:numId="13">
    <w:abstractNumId w:val="51"/>
  </w:num>
  <w:num w:numId="14">
    <w:abstractNumId w:val="29"/>
  </w:num>
  <w:num w:numId="15">
    <w:abstractNumId w:val="64"/>
  </w:num>
  <w:num w:numId="16">
    <w:abstractNumId w:val="52"/>
  </w:num>
  <w:num w:numId="17">
    <w:abstractNumId w:val="71"/>
  </w:num>
  <w:num w:numId="18">
    <w:abstractNumId w:val="97"/>
  </w:num>
  <w:num w:numId="19">
    <w:abstractNumId w:val="13"/>
  </w:num>
  <w:num w:numId="20">
    <w:abstractNumId w:val="19"/>
  </w:num>
  <w:num w:numId="21">
    <w:abstractNumId w:val="78"/>
  </w:num>
  <w:num w:numId="22">
    <w:abstractNumId w:val="114"/>
  </w:num>
  <w:num w:numId="23">
    <w:abstractNumId w:val="74"/>
  </w:num>
  <w:num w:numId="24">
    <w:abstractNumId w:val="79"/>
  </w:num>
  <w:num w:numId="25">
    <w:abstractNumId w:val="91"/>
  </w:num>
  <w:num w:numId="26">
    <w:abstractNumId w:val="87"/>
  </w:num>
  <w:num w:numId="27">
    <w:abstractNumId w:val="112"/>
  </w:num>
  <w:num w:numId="28">
    <w:abstractNumId w:val="109"/>
  </w:num>
  <w:num w:numId="29">
    <w:abstractNumId w:val="33"/>
  </w:num>
  <w:num w:numId="30">
    <w:abstractNumId w:val="90"/>
  </w:num>
  <w:num w:numId="31">
    <w:abstractNumId w:val="96"/>
  </w:num>
  <w:num w:numId="32">
    <w:abstractNumId w:val="30"/>
  </w:num>
  <w:num w:numId="33">
    <w:abstractNumId w:val="35"/>
  </w:num>
  <w:num w:numId="34">
    <w:abstractNumId w:val="25"/>
  </w:num>
  <w:num w:numId="35">
    <w:abstractNumId w:val="75"/>
  </w:num>
  <w:num w:numId="36">
    <w:abstractNumId w:val="102"/>
  </w:num>
  <w:num w:numId="37">
    <w:abstractNumId w:val="83"/>
  </w:num>
  <w:num w:numId="38">
    <w:abstractNumId w:val="10"/>
  </w:num>
  <w:num w:numId="39">
    <w:abstractNumId w:val="108"/>
  </w:num>
  <w:num w:numId="40">
    <w:abstractNumId w:val="60"/>
  </w:num>
  <w:num w:numId="41">
    <w:abstractNumId w:val="63"/>
  </w:num>
  <w:num w:numId="42">
    <w:abstractNumId w:val="104"/>
  </w:num>
  <w:num w:numId="43">
    <w:abstractNumId w:val="28"/>
  </w:num>
  <w:num w:numId="44">
    <w:abstractNumId w:val="45"/>
  </w:num>
  <w:num w:numId="45">
    <w:abstractNumId w:val="0"/>
  </w:num>
  <w:num w:numId="46">
    <w:abstractNumId w:val="59"/>
  </w:num>
  <w:num w:numId="47">
    <w:abstractNumId w:val="84"/>
  </w:num>
  <w:num w:numId="48">
    <w:abstractNumId w:val="68"/>
  </w:num>
  <w:num w:numId="49">
    <w:abstractNumId w:val="43"/>
  </w:num>
  <w:num w:numId="50">
    <w:abstractNumId w:val="76"/>
  </w:num>
  <w:num w:numId="51">
    <w:abstractNumId w:val="39"/>
  </w:num>
  <w:num w:numId="52">
    <w:abstractNumId w:val="34"/>
  </w:num>
  <w:num w:numId="53">
    <w:abstractNumId w:val="16"/>
  </w:num>
  <w:num w:numId="54">
    <w:abstractNumId w:val="111"/>
  </w:num>
  <w:num w:numId="55">
    <w:abstractNumId w:val="58"/>
  </w:num>
  <w:num w:numId="56">
    <w:abstractNumId w:val="14"/>
  </w:num>
  <w:num w:numId="57">
    <w:abstractNumId w:val="8"/>
  </w:num>
  <w:num w:numId="58">
    <w:abstractNumId w:val="23"/>
  </w:num>
  <w:num w:numId="59">
    <w:abstractNumId w:val="105"/>
  </w:num>
  <w:num w:numId="60">
    <w:abstractNumId w:val="62"/>
  </w:num>
  <w:num w:numId="61">
    <w:abstractNumId w:val="67"/>
  </w:num>
  <w:num w:numId="62">
    <w:abstractNumId w:val="88"/>
  </w:num>
  <w:num w:numId="63">
    <w:abstractNumId w:val="73"/>
  </w:num>
  <w:num w:numId="64">
    <w:abstractNumId w:val="1"/>
  </w:num>
  <w:num w:numId="65">
    <w:abstractNumId w:val="53"/>
  </w:num>
  <w:num w:numId="66">
    <w:abstractNumId w:val="55"/>
  </w:num>
  <w:num w:numId="67">
    <w:abstractNumId w:val="113"/>
  </w:num>
  <w:num w:numId="68">
    <w:abstractNumId w:val="24"/>
  </w:num>
  <w:num w:numId="69">
    <w:abstractNumId w:val="81"/>
  </w:num>
  <w:num w:numId="70">
    <w:abstractNumId w:val="32"/>
  </w:num>
  <w:num w:numId="71">
    <w:abstractNumId w:val="12"/>
  </w:num>
  <w:num w:numId="72">
    <w:abstractNumId w:val="5"/>
  </w:num>
  <w:num w:numId="73">
    <w:abstractNumId w:val="106"/>
  </w:num>
  <w:num w:numId="74">
    <w:abstractNumId w:val="27"/>
  </w:num>
  <w:num w:numId="75">
    <w:abstractNumId w:val="4"/>
  </w:num>
  <w:num w:numId="76">
    <w:abstractNumId w:val="93"/>
  </w:num>
  <w:num w:numId="77">
    <w:abstractNumId w:val="119"/>
  </w:num>
  <w:num w:numId="78">
    <w:abstractNumId w:val="107"/>
  </w:num>
  <w:num w:numId="79">
    <w:abstractNumId w:val="21"/>
  </w:num>
  <w:num w:numId="80">
    <w:abstractNumId w:val="36"/>
  </w:num>
  <w:num w:numId="81">
    <w:abstractNumId w:val="116"/>
  </w:num>
  <w:num w:numId="82">
    <w:abstractNumId w:val="22"/>
  </w:num>
  <w:num w:numId="83">
    <w:abstractNumId w:val="86"/>
  </w:num>
  <w:num w:numId="84">
    <w:abstractNumId w:val="31"/>
  </w:num>
  <w:num w:numId="85">
    <w:abstractNumId w:val="49"/>
  </w:num>
  <w:num w:numId="86">
    <w:abstractNumId w:val="37"/>
  </w:num>
  <w:num w:numId="87">
    <w:abstractNumId w:val="92"/>
  </w:num>
  <w:num w:numId="88">
    <w:abstractNumId w:val="56"/>
  </w:num>
  <w:num w:numId="89">
    <w:abstractNumId w:val="66"/>
  </w:num>
  <w:num w:numId="90">
    <w:abstractNumId w:val="47"/>
  </w:num>
  <w:num w:numId="91">
    <w:abstractNumId w:val="77"/>
  </w:num>
  <w:num w:numId="92">
    <w:abstractNumId w:val="3"/>
  </w:num>
  <w:num w:numId="93">
    <w:abstractNumId w:val="85"/>
  </w:num>
  <w:num w:numId="94">
    <w:abstractNumId w:val="121"/>
  </w:num>
  <w:num w:numId="95">
    <w:abstractNumId w:val="82"/>
  </w:num>
  <w:num w:numId="96">
    <w:abstractNumId w:val="120"/>
  </w:num>
  <w:num w:numId="97">
    <w:abstractNumId w:val="11"/>
  </w:num>
  <w:num w:numId="98">
    <w:abstractNumId w:val="94"/>
  </w:num>
  <w:num w:numId="99">
    <w:abstractNumId w:val="46"/>
  </w:num>
  <w:num w:numId="100">
    <w:abstractNumId w:val="9"/>
  </w:num>
  <w:num w:numId="101">
    <w:abstractNumId w:val="41"/>
  </w:num>
  <w:num w:numId="102">
    <w:abstractNumId w:val="115"/>
  </w:num>
  <w:num w:numId="103">
    <w:abstractNumId w:val="54"/>
  </w:num>
  <w:num w:numId="104">
    <w:abstractNumId w:val="98"/>
  </w:num>
  <w:num w:numId="105">
    <w:abstractNumId w:val="7"/>
  </w:num>
  <w:num w:numId="106">
    <w:abstractNumId w:val="110"/>
  </w:num>
  <w:num w:numId="107">
    <w:abstractNumId w:val="61"/>
  </w:num>
  <w:num w:numId="108">
    <w:abstractNumId w:val="101"/>
  </w:num>
  <w:num w:numId="109">
    <w:abstractNumId w:val="18"/>
  </w:num>
  <w:num w:numId="110">
    <w:abstractNumId w:val="38"/>
  </w:num>
  <w:num w:numId="111">
    <w:abstractNumId w:val="117"/>
  </w:num>
  <w:num w:numId="112">
    <w:abstractNumId w:val="69"/>
  </w:num>
  <w:num w:numId="113">
    <w:abstractNumId w:val="70"/>
  </w:num>
  <w:num w:numId="114">
    <w:abstractNumId w:val="15"/>
  </w:num>
  <w:num w:numId="115">
    <w:abstractNumId w:val="44"/>
  </w:num>
  <w:num w:numId="116">
    <w:abstractNumId w:val="40"/>
  </w:num>
  <w:num w:numId="117">
    <w:abstractNumId w:val="17"/>
  </w:num>
  <w:num w:numId="118">
    <w:abstractNumId w:val="118"/>
  </w:num>
  <w:num w:numId="119">
    <w:abstractNumId w:val="48"/>
  </w:num>
  <w:num w:numId="120">
    <w:abstractNumId w:val="65"/>
  </w:num>
  <w:num w:numId="121">
    <w:abstractNumId w:val="42"/>
  </w:num>
  <w:num w:numId="122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01D"/>
    <w:rsid w:val="0000374E"/>
    <w:rsid w:val="00005E1F"/>
    <w:rsid w:val="00006EE9"/>
    <w:rsid w:val="0001133D"/>
    <w:rsid w:val="00026F71"/>
    <w:rsid w:val="00027C6D"/>
    <w:rsid w:val="00033CDF"/>
    <w:rsid w:val="00034B11"/>
    <w:rsid w:val="00050822"/>
    <w:rsid w:val="00065746"/>
    <w:rsid w:val="00067D11"/>
    <w:rsid w:val="00072FAE"/>
    <w:rsid w:val="00080010"/>
    <w:rsid w:val="000955EB"/>
    <w:rsid w:val="00096548"/>
    <w:rsid w:val="000966CA"/>
    <w:rsid w:val="000C5364"/>
    <w:rsid w:val="000C5B49"/>
    <w:rsid w:val="000D38E1"/>
    <w:rsid w:val="000E4223"/>
    <w:rsid w:val="000E7820"/>
    <w:rsid w:val="000F42BE"/>
    <w:rsid w:val="000F64AA"/>
    <w:rsid w:val="00105DAB"/>
    <w:rsid w:val="00110432"/>
    <w:rsid w:val="00116A2C"/>
    <w:rsid w:val="0012029C"/>
    <w:rsid w:val="00123428"/>
    <w:rsid w:val="00147824"/>
    <w:rsid w:val="00160F28"/>
    <w:rsid w:val="00162974"/>
    <w:rsid w:val="00174E3B"/>
    <w:rsid w:val="00183CAC"/>
    <w:rsid w:val="001938F8"/>
    <w:rsid w:val="001A196E"/>
    <w:rsid w:val="001A3985"/>
    <w:rsid w:val="001A5842"/>
    <w:rsid w:val="001B0580"/>
    <w:rsid w:val="001B30D0"/>
    <w:rsid w:val="001C2228"/>
    <w:rsid w:val="001C7596"/>
    <w:rsid w:val="00203FDE"/>
    <w:rsid w:val="002140BD"/>
    <w:rsid w:val="00222623"/>
    <w:rsid w:val="002327F2"/>
    <w:rsid w:val="00233EB6"/>
    <w:rsid w:val="00236C8C"/>
    <w:rsid w:val="002374FC"/>
    <w:rsid w:val="00253C7B"/>
    <w:rsid w:val="00261060"/>
    <w:rsid w:val="002635F3"/>
    <w:rsid w:val="00277D9C"/>
    <w:rsid w:val="00284B12"/>
    <w:rsid w:val="002951D8"/>
    <w:rsid w:val="002A22DF"/>
    <w:rsid w:val="002A37E8"/>
    <w:rsid w:val="002C1832"/>
    <w:rsid w:val="002C726E"/>
    <w:rsid w:val="002F14CC"/>
    <w:rsid w:val="002F4594"/>
    <w:rsid w:val="0030449B"/>
    <w:rsid w:val="00307AD6"/>
    <w:rsid w:val="003130F1"/>
    <w:rsid w:val="003245F8"/>
    <w:rsid w:val="00331EA2"/>
    <w:rsid w:val="00342700"/>
    <w:rsid w:val="00352A18"/>
    <w:rsid w:val="003548B5"/>
    <w:rsid w:val="0035584B"/>
    <w:rsid w:val="00374B8A"/>
    <w:rsid w:val="0037604E"/>
    <w:rsid w:val="00395221"/>
    <w:rsid w:val="0039704B"/>
    <w:rsid w:val="003A53AF"/>
    <w:rsid w:val="003B4B8F"/>
    <w:rsid w:val="003D3704"/>
    <w:rsid w:val="00405BEA"/>
    <w:rsid w:val="00441A6C"/>
    <w:rsid w:val="00443E72"/>
    <w:rsid w:val="00485488"/>
    <w:rsid w:val="00492D10"/>
    <w:rsid w:val="004949BB"/>
    <w:rsid w:val="00497304"/>
    <w:rsid w:val="00497881"/>
    <w:rsid w:val="004A731F"/>
    <w:rsid w:val="004A7DD1"/>
    <w:rsid w:val="004B4DD8"/>
    <w:rsid w:val="004C6074"/>
    <w:rsid w:val="004D31D5"/>
    <w:rsid w:val="004D5FC4"/>
    <w:rsid w:val="004E0524"/>
    <w:rsid w:val="004E0EEF"/>
    <w:rsid w:val="004E3326"/>
    <w:rsid w:val="004F7908"/>
    <w:rsid w:val="00504DB0"/>
    <w:rsid w:val="0051039B"/>
    <w:rsid w:val="00517477"/>
    <w:rsid w:val="00556829"/>
    <w:rsid w:val="00564269"/>
    <w:rsid w:val="00567424"/>
    <w:rsid w:val="00572B8F"/>
    <w:rsid w:val="00573B1D"/>
    <w:rsid w:val="00574D91"/>
    <w:rsid w:val="00576567"/>
    <w:rsid w:val="00577A9F"/>
    <w:rsid w:val="00594CAE"/>
    <w:rsid w:val="005A7294"/>
    <w:rsid w:val="005D02BD"/>
    <w:rsid w:val="005E243C"/>
    <w:rsid w:val="005E2A3F"/>
    <w:rsid w:val="005E53F4"/>
    <w:rsid w:val="005F367C"/>
    <w:rsid w:val="005F3ED0"/>
    <w:rsid w:val="00602A3D"/>
    <w:rsid w:val="0062048F"/>
    <w:rsid w:val="0062624C"/>
    <w:rsid w:val="00655F1A"/>
    <w:rsid w:val="00673EDB"/>
    <w:rsid w:val="00682D60"/>
    <w:rsid w:val="006911C8"/>
    <w:rsid w:val="00693D5F"/>
    <w:rsid w:val="006A1205"/>
    <w:rsid w:val="006A4465"/>
    <w:rsid w:val="006B11CC"/>
    <w:rsid w:val="006C27BD"/>
    <w:rsid w:val="006D4E26"/>
    <w:rsid w:val="006E00B4"/>
    <w:rsid w:val="006F5001"/>
    <w:rsid w:val="006F7517"/>
    <w:rsid w:val="0070151E"/>
    <w:rsid w:val="00703E91"/>
    <w:rsid w:val="00703EC9"/>
    <w:rsid w:val="00713BEE"/>
    <w:rsid w:val="007159DD"/>
    <w:rsid w:val="00720B70"/>
    <w:rsid w:val="00721B8D"/>
    <w:rsid w:val="0072622E"/>
    <w:rsid w:val="0073188B"/>
    <w:rsid w:val="00755396"/>
    <w:rsid w:val="007634B7"/>
    <w:rsid w:val="00770334"/>
    <w:rsid w:val="00783F0C"/>
    <w:rsid w:val="007841E7"/>
    <w:rsid w:val="007859E4"/>
    <w:rsid w:val="007876C2"/>
    <w:rsid w:val="007A13A4"/>
    <w:rsid w:val="007B5F5E"/>
    <w:rsid w:val="007B74F8"/>
    <w:rsid w:val="007B7550"/>
    <w:rsid w:val="007D4F81"/>
    <w:rsid w:val="007E0B2B"/>
    <w:rsid w:val="007E2654"/>
    <w:rsid w:val="007F25D0"/>
    <w:rsid w:val="00804E64"/>
    <w:rsid w:val="008065F5"/>
    <w:rsid w:val="008201FA"/>
    <w:rsid w:val="00824F55"/>
    <w:rsid w:val="0082686B"/>
    <w:rsid w:val="00836BB2"/>
    <w:rsid w:val="008370EA"/>
    <w:rsid w:val="008400E5"/>
    <w:rsid w:val="008514A0"/>
    <w:rsid w:val="00853D92"/>
    <w:rsid w:val="00856D78"/>
    <w:rsid w:val="008661A3"/>
    <w:rsid w:val="00866D4A"/>
    <w:rsid w:val="008847BD"/>
    <w:rsid w:val="0089074E"/>
    <w:rsid w:val="00891BED"/>
    <w:rsid w:val="0089603D"/>
    <w:rsid w:val="008973FA"/>
    <w:rsid w:val="008A2815"/>
    <w:rsid w:val="008C3EF1"/>
    <w:rsid w:val="008E002B"/>
    <w:rsid w:val="008E3C88"/>
    <w:rsid w:val="008F4F00"/>
    <w:rsid w:val="0090632C"/>
    <w:rsid w:val="0091796F"/>
    <w:rsid w:val="009315E8"/>
    <w:rsid w:val="00932ACD"/>
    <w:rsid w:val="00940E09"/>
    <w:rsid w:val="00942C89"/>
    <w:rsid w:val="009520F6"/>
    <w:rsid w:val="00952C44"/>
    <w:rsid w:val="00954D65"/>
    <w:rsid w:val="0096166D"/>
    <w:rsid w:val="009A3C0C"/>
    <w:rsid w:val="009B310A"/>
    <w:rsid w:val="009D1F5A"/>
    <w:rsid w:val="00A04844"/>
    <w:rsid w:val="00A12309"/>
    <w:rsid w:val="00A24C85"/>
    <w:rsid w:val="00A25B5E"/>
    <w:rsid w:val="00A26C8A"/>
    <w:rsid w:val="00A27CF2"/>
    <w:rsid w:val="00A3134A"/>
    <w:rsid w:val="00A36555"/>
    <w:rsid w:val="00A520C1"/>
    <w:rsid w:val="00A763E0"/>
    <w:rsid w:val="00A84987"/>
    <w:rsid w:val="00A97CBE"/>
    <w:rsid w:val="00AA20F9"/>
    <w:rsid w:val="00AB305C"/>
    <w:rsid w:val="00AB7996"/>
    <w:rsid w:val="00AD39EE"/>
    <w:rsid w:val="00B0313B"/>
    <w:rsid w:val="00B164F2"/>
    <w:rsid w:val="00B23F5B"/>
    <w:rsid w:val="00B26BD2"/>
    <w:rsid w:val="00B27B05"/>
    <w:rsid w:val="00B430E8"/>
    <w:rsid w:val="00B5353D"/>
    <w:rsid w:val="00B54E7D"/>
    <w:rsid w:val="00B70BD1"/>
    <w:rsid w:val="00B732AE"/>
    <w:rsid w:val="00B805A8"/>
    <w:rsid w:val="00B84C4D"/>
    <w:rsid w:val="00B84C97"/>
    <w:rsid w:val="00B879E1"/>
    <w:rsid w:val="00B9332F"/>
    <w:rsid w:val="00B9383C"/>
    <w:rsid w:val="00BA35B3"/>
    <w:rsid w:val="00BA509F"/>
    <w:rsid w:val="00BB30A1"/>
    <w:rsid w:val="00BC63E6"/>
    <w:rsid w:val="00BD7E76"/>
    <w:rsid w:val="00BE1945"/>
    <w:rsid w:val="00BE39E9"/>
    <w:rsid w:val="00BE5937"/>
    <w:rsid w:val="00C070AE"/>
    <w:rsid w:val="00C47E54"/>
    <w:rsid w:val="00C56AA6"/>
    <w:rsid w:val="00C7032A"/>
    <w:rsid w:val="00C82E38"/>
    <w:rsid w:val="00C90F00"/>
    <w:rsid w:val="00C9464D"/>
    <w:rsid w:val="00CA0FF5"/>
    <w:rsid w:val="00CA5443"/>
    <w:rsid w:val="00CB216B"/>
    <w:rsid w:val="00CB4512"/>
    <w:rsid w:val="00CC0989"/>
    <w:rsid w:val="00CC132B"/>
    <w:rsid w:val="00CD0380"/>
    <w:rsid w:val="00D03609"/>
    <w:rsid w:val="00D2005D"/>
    <w:rsid w:val="00D231E4"/>
    <w:rsid w:val="00D47A91"/>
    <w:rsid w:val="00D51AFE"/>
    <w:rsid w:val="00D61DA0"/>
    <w:rsid w:val="00D65C68"/>
    <w:rsid w:val="00D81190"/>
    <w:rsid w:val="00D92824"/>
    <w:rsid w:val="00D94E75"/>
    <w:rsid w:val="00DC5871"/>
    <w:rsid w:val="00DD32D1"/>
    <w:rsid w:val="00DD3473"/>
    <w:rsid w:val="00DD4E41"/>
    <w:rsid w:val="00DE703C"/>
    <w:rsid w:val="00DF2D6E"/>
    <w:rsid w:val="00DF37E1"/>
    <w:rsid w:val="00E0139B"/>
    <w:rsid w:val="00E0688E"/>
    <w:rsid w:val="00E1126D"/>
    <w:rsid w:val="00E2256C"/>
    <w:rsid w:val="00E22636"/>
    <w:rsid w:val="00E23FF1"/>
    <w:rsid w:val="00E54BD2"/>
    <w:rsid w:val="00E6202E"/>
    <w:rsid w:val="00E67DCA"/>
    <w:rsid w:val="00E72DC9"/>
    <w:rsid w:val="00E73BE9"/>
    <w:rsid w:val="00E8183D"/>
    <w:rsid w:val="00E87EB9"/>
    <w:rsid w:val="00E921F6"/>
    <w:rsid w:val="00EB0D80"/>
    <w:rsid w:val="00EB568B"/>
    <w:rsid w:val="00EC3D7B"/>
    <w:rsid w:val="00EC4A9D"/>
    <w:rsid w:val="00EC4E3C"/>
    <w:rsid w:val="00EC79C9"/>
    <w:rsid w:val="00ED0DEA"/>
    <w:rsid w:val="00ED5FAB"/>
    <w:rsid w:val="00EF68B4"/>
    <w:rsid w:val="00EF697A"/>
    <w:rsid w:val="00EF6FD0"/>
    <w:rsid w:val="00F16F8E"/>
    <w:rsid w:val="00F2292F"/>
    <w:rsid w:val="00F2417A"/>
    <w:rsid w:val="00F4011F"/>
    <w:rsid w:val="00F4531F"/>
    <w:rsid w:val="00F508AF"/>
    <w:rsid w:val="00F51644"/>
    <w:rsid w:val="00F601C9"/>
    <w:rsid w:val="00F633ED"/>
    <w:rsid w:val="00F71268"/>
    <w:rsid w:val="00F80092"/>
    <w:rsid w:val="00F8085A"/>
    <w:rsid w:val="00F87DCB"/>
    <w:rsid w:val="00FA1E86"/>
    <w:rsid w:val="00FA39A6"/>
    <w:rsid w:val="00FB18D0"/>
    <w:rsid w:val="00FB301D"/>
    <w:rsid w:val="00FB64DE"/>
    <w:rsid w:val="00FB6510"/>
    <w:rsid w:val="00FC6C4E"/>
    <w:rsid w:val="00FE3610"/>
    <w:rsid w:val="00FF3784"/>
    <w:rsid w:val="00F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4"/>
  </w:style>
  <w:style w:type="paragraph" w:styleId="Titre1">
    <w:name w:val="heading 1"/>
    <w:basedOn w:val="Normal"/>
    <w:next w:val="Normal"/>
    <w:link w:val="Titre1Car"/>
    <w:uiPriority w:val="9"/>
    <w:qFormat/>
    <w:rsid w:val="002A3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2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ED"/>
  </w:style>
  <w:style w:type="paragraph" w:styleId="Pieddepage">
    <w:name w:val="footer"/>
    <w:basedOn w:val="Normal"/>
    <w:link w:val="Pieddepag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E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3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21F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92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2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2635F3"/>
    <w:rPr>
      <w:color w:val="0000FF"/>
      <w:u w:val="single"/>
    </w:rPr>
  </w:style>
  <w:style w:type="paragraph" w:styleId="NormalWeb">
    <w:name w:val="Normal (Web)"/>
    <w:basedOn w:val="Normal"/>
    <w:rsid w:val="004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title">
    <w:name w:val="inline_title"/>
    <w:basedOn w:val="Policepardfaut"/>
    <w:rsid w:val="004D31D5"/>
  </w:style>
  <w:style w:type="table" w:styleId="Grilledutableau">
    <w:name w:val="Table Grid"/>
    <w:basedOn w:val="TableauNormal"/>
    <w:uiPriority w:val="59"/>
    <w:rsid w:val="0057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1C7596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7596"/>
    <w:rPr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4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24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qFormat/>
    <w:rsid w:val="009520F6"/>
    <w:rPr>
      <w:b/>
      <w:bCs/>
    </w:rPr>
  </w:style>
  <w:style w:type="character" w:styleId="Accentuation">
    <w:name w:val="Emphasis"/>
    <w:basedOn w:val="Policepardfaut"/>
    <w:qFormat/>
    <w:rsid w:val="00D65C6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00E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7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7C6D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A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benahmedabdelhalim@gmail.com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E7A9-6164-4877-A6F9-DC04634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neurophysiologie </vt:lpstr>
    </vt:vector>
  </TitlesOfParts>
  <Company>faculté de medecine d’annaba 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Physiologie des récepteurs somatosensoriels </dc:title>
  <dc:subject>2ème année médecine 2019-2020</dc:subject>
  <dc:creator>Dr A. Benahmed</dc:creator>
  <cp:lastModifiedBy>TOCHIBA</cp:lastModifiedBy>
  <cp:revision>6</cp:revision>
  <cp:lastPrinted>2018-05-29T09:23:00Z</cp:lastPrinted>
  <dcterms:created xsi:type="dcterms:W3CDTF">2020-03-31T09:02:00Z</dcterms:created>
  <dcterms:modified xsi:type="dcterms:W3CDTF">2020-04-26T14:03:00Z</dcterms:modified>
</cp:coreProperties>
</file>