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79" w:rsidRPr="00372D5B" w:rsidRDefault="004534ED">
      <w:pPr>
        <w:rPr>
          <w:b/>
          <w:sz w:val="28"/>
          <w:szCs w:val="28"/>
        </w:rPr>
      </w:pPr>
      <w:r>
        <w:t xml:space="preserve">               </w:t>
      </w:r>
      <w:r w:rsidR="00F30B2A">
        <w:t xml:space="preserve">          </w:t>
      </w:r>
      <w:r>
        <w:t xml:space="preserve">   </w:t>
      </w:r>
      <w:r w:rsidR="00F30B2A" w:rsidRPr="004D1E41">
        <w:rPr>
          <w:b/>
          <w:sz w:val="32"/>
          <w:szCs w:val="28"/>
        </w:rPr>
        <w:t>Prise en charge</w:t>
      </w:r>
      <w:r w:rsidRPr="004D1E41">
        <w:rPr>
          <w:b/>
          <w:sz w:val="32"/>
          <w:szCs w:val="28"/>
        </w:rPr>
        <w:t xml:space="preserve"> de la Polyarthrite </w:t>
      </w:r>
      <w:r w:rsidR="00873817" w:rsidRPr="004D1E41">
        <w:rPr>
          <w:b/>
          <w:sz w:val="32"/>
          <w:szCs w:val="28"/>
        </w:rPr>
        <w:t>Rhumatoïde</w:t>
      </w:r>
    </w:p>
    <w:p w:rsidR="004534ED" w:rsidRDefault="004534ED" w:rsidP="004534ED">
      <w:pPr>
        <w:jc w:val="center"/>
        <w:rPr>
          <w:color w:val="FF0000"/>
          <w:sz w:val="28"/>
          <w:szCs w:val="28"/>
        </w:rPr>
      </w:pPr>
      <w:r w:rsidRPr="004534ED">
        <w:rPr>
          <w:color w:val="FF0000"/>
          <w:sz w:val="28"/>
          <w:szCs w:val="28"/>
        </w:rPr>
        <w:t xml:space="preserve">               </w:t>
      </w:r>
      <w:r w:rsidR="00F30B2A">
        <w:rPr>
          <w:color w:val="FF0000"/>
          <w:sz w:val="28"/>
          <w:szCs w:val="28"/>
        </w:rPr>
        <w:t xml:space="preserve">              </w:t>
      </w:r>
    </w:p>
    <w:p w:rsidR="004534ED" w:rsidRPr="004D1E41" w:rsidRDefault="004534ED" w:rsidP="004534ED">
      <w:pPr>
        <w:rPr>
          <w:b/>
          <w:sz w:val="28"/>
          <w:szCs w:val="24"/>
        </w:rPr>
      </w:pPr>
      <w:r w:rsidRPr="004D1E41">
        <w:rPr>
          <w:b/>
          <w:sz w:val="28"/>
          <w:szCs w:val="24"/>
        </w:rPr>
        <w:t>Plan du cours :</w:t>
      </w:r>
    </w:p>
    <w:p w:rsidR="00372D5B" w:rsidRDefault="00873817" w:rsidP="00CE19DF">
      <w:pPr>
        <w:pStyle w:val="Paragraphedeliste"/>
        <w:numPr>
          <w:ilvl w:val="0"/>
          <w:numId w:val="27"/>
        </w:numPr>
        <w:rPr>
          <w:sz w:val="24"/>
          <w:szCs w:val="24"/>
        </w:rPr>
      </w:pPr>
      <w:r w:rsidRPr="00372D5B">
        <w:rPr>
          <w:sz w:val="24"/>
          <w:szCs w:val="24"/>
        </w:rPr>
        <w:t>Introduction</w:t>
      </w:r>
    </w:p>
    <w:p w:rsidR="00372D5B" w:rsidRDefault="004F0266" w:rsidP="00CE19DF">
      <w:pPr>
        <w:pStyle w:val="Paragraphedeliste"/>
        <w:numPr>
          <w:ilvl w:val="0"/>
          <w:numId w:val="27"/>
        </w:numPr>
        <w:rPr>
          <w:sz w:val="24"/>
          <w:szCs w:val="24"/>
        </w:rPr>
      </w:pPr>
      <w:r w:rsidRPr="00372D5B">
        <w:rPr>
          <w:sz w:val="24"/>
          <w:szCs w:val="24"/>
        </w:rPr>
        <w:t>Objectifs Thérapeutique</w:t>
      </w:r>
    </w:p>
    <w:p w:rsidR="004534ED" w:rsidRPr="00372D5B" w:rsidRDefault="004534ED" w:rsidP="00CE19DF">
      <w:pPr>
        <w:pStyle w:val="Paragraphedeliste"/>
        <w:numPr>
          <w:ilvl w:val="0"/>
          <w:numId w:val="27"/>
        </w:numPr>
        <w:rPr>
          <w:sz w:val="24"/>
          <w:szCs w:val="24"/>
        </w:rPr>
      </w:pPr>
      <w:r w:rsidRPr="00372D5B">
        <w:rPr>
          <w:sz w:val="24"/>
          <w:szCs w:val="24"/>
        </w:rPr>
        <w:t>Moyens de Traitements</w:t>
      </w:r>
    </w:p>
    <w:p w:rsidR="00372D5B" w:rsidRDefault="00A8529A" w:rsidP="00CE19DF">
      <w:pPr>
        <w:pStyle w:val="Paragraphedeliste"/>
        <w:numPr>
          <w:ilvl w:val="0"/>
          <w:numId w:val="28"/>
        </w:numPr>
        <w:jc w:val="both"/>
        <w:rPr>
          <w:sz w:val="24"/>
          <w:szCs w:val="24"/>
        </w:rPr>
      </w:pPr>
      <w:r w:rsidRPr="00372D5B">
        <w:rPr>
          <w:sz w:val="24"/>
          <w:szCs w:val="24"/>
        </w:rPr>
        <w:t>Information du patient</w:t>
      </w:r>
    </w:p>
    <w:p w:rsidR="004534ED" w:rsidRPr="00372D5B" w:rsidRDefault="004534ED" w:rsidP="00CE19DF">
      <w:pPr>
        <w:pStyle w:val="Paragraphedeliste"/>
        <w:numPr>
          <w:ilvl w:val="0"/>
          <w:numId w:val="28"/>
        </w:numPr>
        <w:jc w:val="both"/>
        <w:rPr>
          <w:sz w:val="24"/>
          <w:szCs w:val="24"/>
        </w:rPr>
      </w:pPr>
      <w:r w:rsidRPr="00372D5B">
        <w:rPr>
          <w:sz w:val="24"/>
          <w:szCs w:val="24"/>
        </w:rPr>
        <w:t xml:space="preserve">Traitements </w:t>
      </w:r>
      <w:r w:rsidR="00873817" w:rsidRPr="00372D5B">
        <w:rPr>
          <w:sz w:val="24"/>
          <w:szCs w:val="24"/>
        </w:rPr>
        <w:t>médicamenteux</w:t>
      </w:r>
    </w:p>
    <w:p w:rsidR="00372D5B" w:rsidRDefault="004534ED" w:rsidP="00CE19DF">
      <w:pPr>
        <w:pStyle w:val="Paragraphedeliste"/>
        <w:numPr>
          <w:ilvl w:val="0"/>
          <w:numId w:val="29"/>
        </w:numPr>
        <w:rPr>
          <w:sz w:val="24"/>
          <w:szCs w:val="24"/>
        </w:rPr>
      </w:pPr>
      <w:r w:rsidRPr="00372D5B">
        <w:rPr>
          <w:sz w:val="24"/>
          <w:szCs w:val="24"/>
        </w:rPr>
        <w:t>Traitements symptomatiques</w:t>
      </w:r>
    </w:p>
    <w:p w:rsidR="00372D5B" w:rsidRDefault="004534ED" w:rsidP="00CE19DF">
      <w:pPr>
        <w:pStyle w:val="Paragraphedeliste"/>
        <w:numPr>
          <w:ilvl w:val="0"/>
          <w:numId w:val="29"/>
        </w:numPr>
        <w:rPr>
          <w:sz w:val="24"/>
          <w:szCs w:val="24"/>
        </w:rPr>
      </w:pPr>
      <w:r w:rsidRPr="00372D5B">
        <w:rPr>
          <w:sz w:val="24"/>
          <w:szCs w:val="24"/>
        </w:rPr>
        <w:t xml:space="preserve">Traitements de Fond synthétiques </w:t>
      </w:r>
      <w:r w:rsidR="00873817" w:rsidRPr="00372D5B">
        <w:rPr>
          <w:sz w:val="24"/>
          <w:szCs w:val="24"/>
        </w:rPr>
        <w:t>conventionnel (</w:t>
      </w:r>
      <w:proofErr w:type="spellStart"/>
      <w:r w:rsidRPr="00372D5B">
        <w:rPr>
          <w:sz w:val="24"/>
          <w:szCs w:val="24"/>
        </w:rPr>
        <w:t>csDMARD</w:t>
      </w:r>
      <w:proofErr w:type="spellEnd"/>
      <w:r w:rsidRPr="00372D5B">
        <w:rPr>
          <w:sz w:val="24"/>
          <w:szCs w:val="24"/>
        </w:rPr>
        <w:t>)</w:t>
      </w:r>
    </w:p>
    <w:p w:rsidR="008E6DBE" w:rsidRPr="00372D5B" w:rsidRDefault="008E6DBE" w:rsidP="00CE19DF">
      <w:pPr>
        <w:pStyle w:val="Paragraphedeliste"/>
        <w:numPr>
          <w:ilvl w:val="0"/>
          <w:numId w:val="29"/>
        </w:numPr>
        <w:rPr>
          <w:sz w:val="24"/>
          <w:szCs w:val="24"/>
        </w:rPr>
      </w:pPr>
      <w:r w:rsidRPr="00372D5B">
        <w:rPr>
          <w:sz w:val="24"/>
          <w:szCs w:val="24"/>
        </w:rPr>
        <w:t>Traitement de fond biologique référant (</w:t>
      </w:r>
      <w:proofErr w:type="spellStart"/>
      <w:r w:rsidRPr="00372D5B">
        <w:rPr>
          <w:sz w:val="24"/>
          <w:szCs w:val="24"/>
        </w:rPr>
        <w:t>boDMARD</w:t>
      </w:r>
      <w:proofErr w:type="spellEnd"/>
      <w:r w:rsidRPr="00372D5B">
        <w:rPr>
          <w:sz w:val="24"/>
          <w:szCs w:val="24"/>
        </w:rPr>
        <w:t>)</w:t>
      </w:r>
    </w:p>
    <w:p w:rsidR="00372D5B" w:rsidRDefault="008E6DBE" w:rsidP="00CE19DF">
      <w:pPr>
        <w:pStyle w:val="Paragraphedeliste"/>
        <w:numPr>
          <w:ilvl w:val="0"/>
          <w:numId w:val="30"/>
        </w:numPr>
        <w:rPr>
          <w:sz w:val="24"/>
          <w:szCs w:val="24"/>
        </w:rPr>
      </w:pPr>
      <w:r w:rsidRPr="00372D5B">
        <w:rPr>
          <w:sz w:val="24"/>
          <w:szCs w:val="24"/>
        </w:rPr>
        <w:t>Inhibiteurs du TNF alpha</w:t>
      </w:r>
    </w:p>
    <w:p w:rsidR="00372D5B" w:rsidRDefault="008E6DBE" w:rsidP="00CE19DF">
      <w:pPr>
        <w:pStyle w:val="Paragraphedeliste"/>
        <w:numPr>
          <w:ilvl w:val="0"/>
          <w:numId w:val="30"/>
        </w:numPr>
        <w:rPr>
          <w:sz w:val="24"/>
          <w:szCs w:val="24"/>
        </w:rPr>
      </w:pPr>
      <w:r w:rsidRPr="00372D5B">
        <w:rPr>
          <w:sz w:val="24"/>
          <w:szCs w:val="24"/>
        </w:rPr>
        <w:t xml:space="preserve">Inhibiteurs </w:t>
      </w:r>
      <w:proofErr w:type="gramStart"/>
      <w:r w:rsidRPr="00372D5B">
        <w:rPr>
          <w:sz w:val="24"/>
          <w:szCs w:val="24"/>
        </w:rPr>
        <w:t>de IL6</w:t>
      </w:r>
      <w:proofErr w:type="gramEnd"/>
    </w:p>
    <w:p w:rsidR="008E6DBE" w:rsidRPr="00372D5B" w:rsidRDefault="008E6DBE" w:rsidP="00CE19DF">
      <w:pPr>
        <w:pStyle w:val="Paragraphedeliste"/>
        <w:numPr>
          <w:ilvl w:val="0"/>
          <w:numId w:val="30"/>
        </w:numPr>
        <w:rPr>
          <w:sz w:val="24"/>
          <w:szCs w:val="24"/>
        </w:rPr>
      </w:pPr>
      <w:r w:rsidRPr="00372D5B">
        <w:rPr>
          <w:sz w:val="24"/>
          <w:szCs w:val="24"/>
        </w:rPr>
        <w:t>Inhibiteurs de cellule immunité</w:t>
      </w:r>
    </w:p>
    <w:p w:rsidR="004534ED" w:rsidRPr="00372D5B" w:rsidRDefault="004534ED" w:rsidP="00CE19DF">
      <w:pPr>
        <w:pStyle w:val="Paragraphedeliste"/>
        <w:numPr>
          <w:ilvl w:val="0"/>
          <w:numId w:val="31"/>
        </w:numPr>
        <w:rPr>
          <w:sz w:val="24"/>
          <w:szCs w:val="24"/>
        </w:rPr>
      </w:pPr>
      <w:r w:rsidRPr="00372D5B">
        <w:rPr>
          <w:sz w:val="24"/>
          <w:szCs w:val="24"/>
        </w:rPr>
        <w:t xml:space="preserve">Traitements de fond synthétiques </w:t>
      </w:r>
      <w:r w:rsidR="00873817" w:rsidRPr="00372D5B">
        <w:rPr>
          <w:sz w:val="24"/>
          <w:szCs w:val="24"/>
        </w:rPr>
        <w:t>ciblés (</w:t>
      </w:r>
      <w:proofErr w:type="spellStart"/>
      <w:r w:rsidRPr="00372D5B">
        <w:rPr>
          <w:sz w:val="24"/>
          <w:szCs w:val="24"/>
        </w:rPr>
        <w:t>tsDMARD</w:t>
      </w:r>
      <w:proofErr w:type="spellEnd"/>
      <w:r w:rsidRPr="00372D5B">
        <w:rPr>
          <w:sz w:val="24"/>
          <w:szCs w:val="24"/>
        </w:rPr>
        <w:t>)</w:t>
      </w:r>
    </w:p>
    <w:p w:rsidR="00372D5B" w:rsidRDefault="004534ED" w:rsidP="00CE19DF">
      <w:pPr>
        <w:pStyle w:val="Paragraphedeliste"/>
        <w:numPr>
          <w:ilvl w:val="0"/>
          <w:numId w:val="28"/>
        </w:numPr>
        <w:rPr>
          <w:sz w:val="24"/>
          <w:szCs w:val="24"/>
        </w:rPr>
      </w:pPr>
      <w:r w:rsidRPr="00372D5B">
        <w:rPr>
          <w:sz w:val="24"/>
          <w:szCs w:val="24"/>
        </w:rPr>
        <w:t xml:space="preserve">Traitements </w:t>
      </w:r>
      <w:r w:rsidR="00873817" w:rsidRPr="00372D5B">
        <w:rPr>
          <w:sz w:val="24"/>
          <w:szCs w:val="24"/>
        </w:rPr>
        <w:t>médicamenteux</w:t>
      </w:r>
      <w:r w:rsidRPr="00372D5B">
        <w:rPr>
          <w:sz w:val="24"/>
          <w:szCs w:val="24"/>
        </w:rPr>
        <w:t xml:space="preserve"> locaux</w:t>
      </w:r>
    </w:p>
    <w:p w:rsidR="00372D5B" w:rsidRDefault="004534ED" w:rsidP="00CE19DF">
      <w:pPr>
        <w:pStyle w:val="Paragraphedeliste"/>
        <w:numPr>
          <w:ilvl w:val="0"/>
          <w:numId w:val="28"/>
        </w:numPr>
        <w:rPr>
          <w:sz w:val="24"/>
          <w:szCs w:val="24"/>
        </w:rPr>
      </w:pPr>
      <w:r w:rsidRPr="00372D5B">
        <w:rPr>
          <w:sz w:val="24"/>
          <w:szCs w:val="24"/>
        </w:rPr>
        <w:t>Réadaptation Fonctionnelles</w:t>
      </w:r>
    </w:p>
    <w:p w:rsidR="00372D5B" w:rsidRDefault="004534ED" w:rsidP="00CE19DF">
      <w:pPr>
        <w:pStyle w:val="Paragraphedeliste"/>
        <w:numPr>
          <w:ilvl w:val="0"/>
          <w:numId w:val="28"/>
        </w:numPr>
        <w:rPr>
          <w:sz w:val="24"/>
          <w:szCs w:val="24"/>
        </w:rPr>
      </w:pPr>
      <w:r w:rsidRPr="00372D5B">
        <w:rPr>
          <w:sz w:val="24"/>
          <w:szCs w:val="24"/>
        </w:rPr>
        <w:t>Traitement chirurgicale</w:t>
      </w:r>
    </w:p>
    <w:p w:rsidR="008E6DBE" w:rsidRPr="00372D5B" w:rsidRDefault="008E6DBE" w:rsidP="00CE19DF">
      <w:pPr>
        <w:pStyle w:val="Paragraphedeliste"/>
        <w:numPr>
          <w:ilvl w:val="0"/>
          <w:numId w:val="28"/>
        </w:numPr>
        <w:rPr>
          <w:sz w:val="24"/>
          <w:szCs w:val="24"/>
        </w:rPr>
      </w:pPr>
      <w:r w:rsidRPr="00372D5B">
        <w:rPr>
          <w:sz w:val="24"/>
          <w:szCs w:val="24"/>
        </w:rPr>
        <w:t xml:space="preserve">Prise en charge des </w:t>
      </w:r>
      <w:proofErr w:type="spellStart"/>
      <w:r w:rsidRPr="00372D5B">
        <w:rPr>
          <w:sz w:val="24"/>
          <w:szCs w:val="24"/>
        </w:rPr>
        <w:t>comorbidites</w:t>
      </w:r>
      <w:proofErr w:type="spellEnd"/>
      <w:r w:rsidRPr="00372D5B">
        <w:rPr>
          <w:sz w:val="24"/>
          <w:szCs w:val="24"/>
        </w:rPr>
        <w:t xml:space="preserve"> et des risques </w:t>
      </w:r>
      <w:r w:rsidR="00372D5B" w:rsidRPr="00372D5B">
        <w:rPr>
          <w:sz w:val="24"/>
          <w:szCs w:val="24"/>
        </w:rPr>
        <w:t>iatrogènes</w:t>
      </w:r>
      <w:r w:rsidRPr="00372D5B">
        <w:rPr>
          <w:sz w:val="24"/>
          <w:szCs w:val="24"/>
        </w:rPr>
        <w:t> :</w:t>
      </w:r>
    </w:p>
    <w:p w:rsidR="000F70A3" w:rsidRPr="00372D5B" w:rsidRDefault="000F70A3" w:rsidP="00CE19DF">
      <w:pPr>
        <w:pStyle w:val="Paragraphedeliste"/>
        <w:numPr>
          <w:ilvl w:val="0"/>
          <w:numId w:val="27"/>
        </w:numPr>
        <w:rPr>
          <w:sz w:val="24"/>
          <w:szCs w:val="24"/>
        </w:rPr>
      </w:pPr>
      <w:r w:rsidRPr="00372D5B">
        <w:rPr>
          <w:sz w:val="24"/>
          <w:szCs w:val="24"/>
        </w:rPr>
        <w:t>Stratégie Thérapeutique</w:t>
      </w:r>
    </w:p>
    <w:p w:rsidR="004534ED" w:rsidRPr="004534ED" w:rsidRDefault="004534ED" w:rsidP="004534ED">
      <w:pPr>
        <w:rPr>
          <w:sz w:val="24"/>
          <w:szCs w:val="24"/>
        </w:rPr>
      </w:pPr>
      <w:r>
        <w:rPr>
          <w:sz w:val="24"/>
          <w:szCs w:val="24"/>
        </w:rPr>
        <w:t xml:space="preserve">                     </w:t>
      </w:r>
    </w:p>
    <w:p w:rsidR="00490FA7" w:rsidRDefault="00490FA7" w:rsidP="004534ED">
      <w:pPr>
        <w:rPr>
          <w:b/>
          <w:bCs/>
          <w:sz w:val="28"/>
          <w:szCs w:val="28"/>
        </w:rPr>
      </w:pPr>
    </w:p>
    <w:p w:rsidR="00490FA7" w:rsidRDefault="00490FA7">
      <w:pPr>
        <w:rPr>
          <w:b/>
          <w:bCs/>
          <w:sz w:val="28"/>
          <w:szCs w:val="28"/>
        </w:rPr>
      </w:pPr>
      <w:r>
        <w:rPr>
          <w:b/>
          <w:bCs/>
          <w:sz w:val="28"/>
          <w:szCs w:val="28"/>
        </w:rPr>
        <w:br w:type="page"/>
      </w:r>
    </w:p>
    <w:p w:rsidR="00495B65" w:rsidRPr="004D1E41" w:rsidRDefault="00495B65" w:rsidP="00495B65">
      <w:pPr>
        <w:pStyle w:val="Paragraphedeliste"/>
        <w:ind w:left="1080"/>
        <w:jc w:val="center"/>
        <w:rPr>
          <w:b/>
          <w:sz w:val="32"/>
          <w:szCs w:val="28"/>
        </w:rPr>
      </w:pPr>
      <w:r w:rsidRPr="004D1E41">
        <w:rPr>
          <w:b/>
          <w:sz w:val="32"/>
          <w:szCs w:val="28"/>
        </w:rPr>
        <w:lastRenderedPageBreak/>
        <w:t>Polyarthrite Rhumatoïde : Traitement</w:t>
      </w:r>
    </w:p>
    <w:p w:rsidR="00495B65" w:rsidRPr="004D1E41" w:rsidRDefault="00495B65" w:rsidP="00495B65">
      <w:pPr>
        <w:pStyle w:val="Paragraphedeliste"/>
        <w:ind w:left="1080"/>
        <w:jc w:val="center"/>
        <w:rPr>
          <w:b/>
          <w:sz w:val="32"/>
          <w:szCs w:val="28"/>
        </w:rPr>
      </w:pPr>
    </w:p>
    <w:p w:rsidR="004534ED" w:rsidRDefault="00490FA7" w:rsidP="00CE19DF">
      <w:pPr>
        <w:pStyle w:val="Paragraphedeliste"/>
        <w:numPr>
          <w:ilvl w:val="0"/>
          <w:numId w:val="32"/>
        </w:numPr>
        <w:rPr>
          <w:b/>
          <w:sz w:val="28"/>
          <w:szCs w:val="28"/>
        </w:rPr>
      </w:pPr>
      <w:r w:rsidRPr="00372D5B">
        <w:rPr>
          <w:b/>
          <w:sz w:val="28"/>
          <w:szCs w:val="28"/>
        </w:rPr>
        <w:t>Introduction :</w:t>
      </w:r>
    </w:p>
    <w:p w:rsidR="00EC4B4F" w:rsidRPr="00EC4B4F" w:rsidRDefault="00EC4B4F" w:rsidP="00EC4B4F">
      <w:pPr>
        <w:pStyle w:val="Paragraphedeliste"/>
        <w:ind w:left="360"/>
        <w:rPr>
          <w:sz w:val="24"/>
          <w:szCs w:val="28"/>
        </w:rPr>
      </w:pPr>
      <w:r w:rsidRPr="00EC4B4F">
        <w:rPr>
          <w:sz w:val="24"/>
          <w:szCs w:val="28"/>
        </w:rPr>
        <w:t xml:space="preserve">La prise en charge thérapeutique de la polyarthrite rhumatoïde (PR) a connu de profonds changements au cours des dernières années. </w:t>
      </w:r>
    </w:p>
    <w:p w:rsidR="00EC4B4F" w:rsidRPr="00EC4B4F" w:rsidRDefault="00EC4B4F" w:rsidP="00EC4B4F">
      <w:pPr>
        <w:pStyle w:val="Paragraphedeliste"/>
        <w:ind w:left="360"/>
        <w:rPr>
          <w:sz w:val="24"/>
          <w:szCs w:val="28"/>
        </w:rPr>
      </w:pPr>
      <w:r w:rsidRPr="00EC4B4F">
        <w:rPr>
          <w:sz w:val="24"/>
          <w:szCs w:val="28"/>
        </w:rPr>
        <w:t>Les objectifs du traitement actuel de la PR sont :</w:t>
      </w:r>
    </w:p>
    <w:p w:rsidR="00EC4B4F" w:rsidRPr="00EC4B4F" w:rsidRDefault="00EC4B4F" w:rsidP="00CE19DF">
      <w:pPr>
        <w:pStyle w:val="Paragraphedeliste"/>
        <w:numPr>
          <w:ilvl w:val="0"/>
          <w:numId w:val="30"/>
        </w:numPr>
        <w:ind w:left="993" w:hanging="93"/>
        <w:rPr>
          <w:sz w:val="24"/>
          <w:szCs w:val="28"/>
        </w:rPr>
      </w:pPr>
      <w:r w:rsidRPr="00EC4B4F">
        <w:rPr>
          <w:sz w:val="24"/>
          <w:szCs w:val="28"/>
        </w:rPr>
        <w:t xml:space="preserve">Contrôler  la douleur + l’inflammation articulaire, </w:t>
      </w:r>
    </w:p>
    <w:p w:rsidR="00EC4B4F" w:rsidRDefault="00EC4B4F" w:rsidP="00CE19DF">
      <w:pPr>
        <w:pStyle w:val="Paragraphedeliste"/>
        <w:numPr>
          <w:ilvl w:val="0"/>
          <w:numId w:val="30"/>
        </w:numPr>
        <w:ind w:left="993" w:hanging="93"/>
        <w:rPr>
          <w:sz w:val="24"/>
          <w:szCs w:val="28"/>
        </w:rPr>
      </w:pPr>
      <w:r w:rsidRPr="00EC4B4F">
        <w:rPr>
          <w:sz w:val="24"/>
          <w:szCs w:val="28"/>
        </w:rPr>
        <w:t xml:space="preserve">Prévenir ou  limiter les lésions structurales articulaires, </w:t>
      </w:r>
    </w:p>
    <w:p w:rsidR="00EC4B4F" w:rsidRDefault="00EC4B4F" w:rsidP="00CE19DF">
      <w:pPr>
        <w:pStyle w:val="Paragraphedeliste"/>
        <w:numPr>
          <w:ilvl w:val="0"/>
          <w:numId w:val="30"/>
        </w:numPr>
        <w:ind w:left="993" w:hanging="93"/>
        <w:rPr>
          <w:sz w:val="24"/>
          <w:szCs w:val="28"/>
        </w:rPr>
      </w:pPr>
      <w:r w:rsidRPr="00EC4B4F">
        <w:rPr>
          <w:sz w:val="24"/>
          <w:szCs w:val="28"/>
        </w:rPr>
        <w:t>Prévenir les complications générales : cardiovasculaires, ostéoporose, etc.</w:t>
      </w:r>
    </w:p>
    <w:p w:rsidR="00EC4B4F" w:rsidRPr="00EC4B4F" w:rsidRDefault="00EC4B4F" w:rsidP="00CE19DF">
      <w:pPr>
        <w:pStyle w:val="Paragraphedeliste"/>
        <w:numPr>
          <w:ilvl w:val="0"/>
          <w:numId w:val="30"/>
        </w:numPr>
        <w:ind w:left="993" w:hanging="93"/>
        <w:rPr>
          <w:sz w:val="24"/>
          <w:szCs w:val="28"/>
        </w:rPr>
      </w:pPr>
      <w:r w:rsidRPr="00EC4B4F">
        <w:rPr>
          <w:sz w:val="24"/>
          <w:szCs w:val="28"/>
        </w:rPr>
        <w:t>Le  maintien de la qualité de vie, de la fonction et de l’insertion socioprofessionnelle</w:t>
      </w:r>
    </w:p>
    <w:p w:rsidR="004F0266" w:rsidRDefault="004F0266" w:rsidP="00CE19DF">
      <w:pPr>
        <w:pStyle w:val="Sansinterligne"/>
        <w:numPr>
          <w:ilvl w:val="0"/>
          <w:numId w:val="32"/>
        </w:numPr>
        <w:rPr>
          <w:b/>
          <w:sz w:val="28"/>
          <w:szCs w:val="28"/>
        </w:rPr>
      </w:pPr>
      <w:r w:rsidRPr="00372D5B">
        <w:rPr>
          <w:b/>
          <w:sz w:val="28"/>
          <w:szCs w:val="28"/>
        </w:rPr>
        <w:t>Objectifs :</w:t>
      </w:r>
    </w:p>
    <w:p w:rsidR="00372D5B" w:rsidRPr="00372D5B" w:rsidRDefault="00372D5B" w:rsidP="00372D5B">
      <w:pPr>
        <w:pStyle w:val="Sansinterligne"/>
        <w:ind w:left="1080"/>
        <w:rPr>
          <w:b/>
          <w:sz w:val="20"/>
          <w:szCs w:val="28"/>
        </w:rPr>
      </w:pPr>
    </w:p>
    <w:p w:rsidR="004F0266" w:rsidRDefault="004F0266" w:rsidP="004F0266">
      <w:pPr>
        <w:pStyle w:val="Sansinterligne"/>
        <w:rPr>
          <w:rFonts w:cs="Calibri"/>
          <w:sz w:val="24"/>
          <w:szCs w:val="24"/>
        </w:rPr>
      </w:pPr>
      <w:r w:rsidRPr="00EA5EEF">
        <w:rPr>
          <w:rFonts w:cs="Calibri"/>
          <w:sz w:val="24"/>
          <w:szCs w:val="24"/>
        </w:rPr>
        <w:t xml:space="preserve">L'objectif principal est l'obtention d'une rémission, ou </w:t>
      </w:r>
      <w:r w:rsidR="00873817" w:rsidRPr="00EA5EEF">
        <w:rPr>
          <w:rFonts w:cs="Calibri"/>
          <w:sz w:val="24"/>
          <w:szCs w:val="24"/>
        </w:rPr>
        <w:t>à</w:t>
      </w:r>
      <w:r w:rsidRPr="00EA5EEF">
        <w:rPr>
          <w:rFonts w:cs="Calibri"/>
          <w:sz w:val="24"/>
          <w:szCs w:val="24"/>
        </w:rPr>
        <w:t xml:space="preserve"> défaut d'un faible niveau d'activité.</w:t>
      </w:r>
    </w:p>
    <w:p w:rsidR="00BE6421" w:rsidRDefault="00372D5B" w:rsidP="004F0266">
      <w:pPr>
        <w:pStyle w:val="Sansinterligne"/>
        <w:rPr>
          <w:rFonts w:cs="Calibri"/>
          <w:sz w:val="24"/>
          <w:szCs w:val="24"/>
        </w:rPr>
      </w:pPr>
      <w:r w:rsidRPr="00EA5EEF">
        <w:rPr>
          <w:rFonts w:cs="Calibri"/>
          <w:sz w:val="24"/>
          <w:szCs w:val="24"/>
        </w:rPr>
        <w:t>Les critères ACR/EULAR sont encore plus restrictifs et de ce fait inapplicables : rémission si chaque critère (NAD, NAG, EVA patient, EVA médecin, CRP) est ≤ 1.</w:t>
      </w:r>
    </w:p>
    <w:p w:rsidR="00BE6421" w:rsidRPr="00EA5EEF" w:rsidRDefault="00BE6421" w:rsidP="00BE6421">
      <w:pPr>
        <w:pStyle w:val="Sansinterligne"/>
        <w:rPr>
          <w:rFonts w:cs="Calibri"/>
          <w:sz w:val="24"/>
          <w:szCs w:val="24"/>
        </w:rPr>
      </w:pPr>
      <w:r w:rsidRPr="00EA5EEF">
        <w:rPr>
          <w:rFonts w:cs="Calibri"/>
          <w:sz w:val="24"/>
          <w:szCs w:val="24"/>
        </w:rPr>
        <w:t>Ce qui permettra :</w:t>
      </w:r>
    </w:p>
    <w:p w:rsidR="00BE6421" w:rsidRPr="00EA5EEF" w:rsidRDefault="00495B65" w:rsidP="00495B65">
      <w:pPr>
        <w:pStyle w:val="Sansinterligne"/>
        <w:numPr>
          <w:ilvl w:val="0"/>
          <w:numId w:val="3"/>
        </w:numPr>
        <w:jc w:val="both"/>
        <w:rPr>
          <w:rFonts w:cs="Calibri"/>
          <w:sz w:val="24"/>
          <w:szCs w:val="24"/>
        </w:rPr>
      </w:pPr>
      <w:r w:rsidRPr="00EA5EEF">
        <w:rPr>
          <w:rFonts w:cs="Calibri"/>
          <w:sz w:val="24"/>
          <w:szCs w:val="24"/>
        </w:rPr>
        <w:t>Contrôle de la douleur et de l’inflammation articulaire afin de diminuer l'évolutivité</w:t>
      </w:r>
    </w:p>
    <w:p w:rsidR="00BE6421" w:rsidRPr="00EA5EEF" w:rsidRDefault="00495B65" w:rsidP="00495B65">
      <w:pPr>
        <w:pStyle w:val="Sansinterligne"/>
        <w:numPr>
          <w:ilvl w:val="0"/>
          <w:numId w:val="3"/>
        </w:numPr>
        <w:jc w:val="both"/>
        <w:rPr>
          <w:rFonts w:cs="Calibri"/>
          <w:sz w:val="24"/>
          <w:szCs w:val="24"/>
        </w:rPr>
      </w:pPr>
      <w:r w:rsidRPr="00EA5EEF">
        <w:rPr>
          <w:rFonts w:cs="Calibri"/>
          <w:sz w:val="24"/>
          <w:szCs w:val="24"/>
        </w:rPr>
        <w:t>Pr</w:t>
      </w:r>
      <w:r w:rsidR="00BE6421" w:rsidRPr="00EA5EEF">
        <w:rPr>
          <w:rFonts w:cs="Calibri"/>
          <w:sz w:val="24"/>
          <w:szCs w:val="24"/>
        </w:rPr>
        <w:t xml:space="preserve">évention ou limitation des lésions structurales articulaires, </w:t>
      </w:r>
    </w:p>
    <w:p w:rsidR="00BE6421" w:rsidRPr="00EA5EEF" w:rsidRDefault="00495B65" w:rsidP="00495B65">
      <w:pPr>
        <w:pStyle w:val="Sansinterligne"/>
        <w:numPr>
          <w:ilvl w:val="0"/>
          <w:numId w:val="3"/>
        </w:numPr>
        <w:jc w:val="both"/>
        <w:rPr>
          <w:rFonts w:cs="Calibri"/>
          <w:sz w:val="24"/>
          <w:szCs w:val="24"/>
        </w:rPr>
      </w:pPr>
      <w:r w:rsidRPr="00EA5EEF">
        <w:rPr>
          <w:rFonts w:cs="Calibri"/>
          <w:sz w:val="24"/>
          <w:szCs w:val="24"/>
        </w:rPr>
        <w:t>Maintien de la qualité de vie, de la fonction et de l’insertion socioprofessionnelle.</w:t>
      </w:r>
    </w:p>
    <w:p w:rsidR="00372D5B" w:rsidRPr="00EA5EEF" w:rsidRDefault="00372D5B" w:rsidP="004F0266">
      <w:pPr>
        <w:pStyle w:val="Sansinterligne"/>
        <w:rPr>
          <w:rFonts w:cs="Calibri"/>
          <w:sz w:val="24"/>
          <w:szCs w:val="24"/>
        </w:rPr>
      </w:pPr>
    </w:p>
    <w:tbl>
      <w:tblPr>
        <w:tblpPr w:leftFromText="141" w:rightFromText="141" w:vertAnchor="text" w:tblpX="81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984"/>
        <w:gridCol w:w="2835"/>
      </w:tblGrid>
      <w:tr w:rsidR="004F0266" w:rsidRPr="00EA5EEF" w:rsidTr="00BE6421">
        <w:tc>
          <w:tcPr>
            <w:tcW w:w="1668" w:type="dxa"/>
          </w:tcPr>
          <w:p w:rsidR="004F0266" w:rsidRPr="00EA5EEF" w:rsidRDefault="004F0266" w:rsidP="00BE6421">
            <w:pPr>
              <w:pStyle w:val="Sansinterligne"/>
              <w:rPr>
                <w:rFonts w:cs="Calibri"/>
                <w:sz w:val="24"/>
                <w:szCs w:val="24"/>
              </w:rPr>
            </w:pPr>
          </w:p>
        </w:tc>
        <w:tc>
          <w:tcPr>
            <w:tcW w:w="1984" w:type="dxa"/>
          </w:tcPr>
          <w:p w:rsidR="004F0266" w:rsidRPr="00EA5EEF" w:rsidRDefault="004F0266" w:rsidP="00BE6421">
            <w:pPr>
              <w:pStyle w:val="Sansinterligne"/>
              <w:rPr>
                <w:rFonts w:cs="Calibri"/>
                <w:sz w:val="24"/>
                <w:szCs w:val="24"/>
              </w:rPr>
            </w:pPr>
            <w:r w:rsidRPr="00EA5EEF">
              <w:rPr>
                <w:rFonts w:cs="Calibri"/>
                <w:sz w:val="24"/>
                <w:szCs w:val="24"/>
              </w:rPr>
              <w:t>Rémission</w:t>
            </w:r>
          </w:p>
        </w:tc>
        <w:tc>
          <w:tcPr>
            <w:tcW w:w="2835" w:type="dxa"/>
          </w:tcPr>
          <w:p w:rsidR="004F0266" w:rsidRPr="00EA5EEF" w:rsidRDefault="004F0266" w:rsidP="00BE6421">
            <w:pPr>
              <w:pStyle w:val="Sansinterligne"/>
              <w:rPr>
                <w:rFonts w:cs="Calibri"/>
                <w:sz w:val="24"/>
                <w:szCs w:val="24"/>
              </w:rPr>
            </w:pPr>
            <w:r w:rsidRPr="00EA5EEF">
              <w:rPr>
                <w:rFonts w:cs="Calibri"/>
                <w:sz w:val="24"/>
                <w:szCs w:val="24"/>
              </w:rPr>
              <w:t>Faible niveau d'activité</w:t>
            </w:r>
          </w:p>
        </w:tc>
      </w:tr>
      <w:tr w:rsidR="004F0266" w:rsidRPr="00EA5EEF" w:rsidTr="00BE6421">
        <w:tc>
          <w:tcPr>
            <w:tcW w:w="1668" w:type="dxa"/>
          </w:tcPr>
          <w:p w:rsidR="004F0266" w:rsidRPr="00EA5EEF" w:rsidRDefault="004F0266" w:rsidP="00BE6421">
            <w:pPr>
              <w:pStyle w:val="Sansinterligne"/>
              <w:rPr>
                <w:rFonts w:cs="Calibri"/>
                <w:sz w:val="24"/>
                <w:szCs w:val="24"/>
              </w:rPr>
            </w:pPr>
            <w:r w:rsidRPr="00EA5EEF">
              <w:rPr>
                <w:rFonts w:cs="Calibri"/>
                <w:sz w:val="24"/>
                <w:szCs w:val="24"/>
              </w:rPr>
              <w:t>DAS28</w:t>
            </w:r>
          </w:p>
        </w:tc>
        <w:tc>
          <w:tcPr>
            <w:tcW w:w="1984" w:type="dxa"/>
          </w:tcPr>
          <w:p w:rsidR="004F0266" w:rsidRPr="00EA5EEF" w:rsidRDefault="004F0266" w:rsidP="00BE6421">
            <w:pPr>
              <w:pStyle w:val="Sansinterligne"/>
              <w:rPr>
                <w:rFonts w:cs="Calibri"/>
                <w:sz w:val="24"/>
                <w:szCs w:val="24"/>
              </w:rPr>
            </w:pPr>
            <w:r w:rsidRPr="00EA5EEF">
              <w:rPr>
                <w:rFonts w:cs="Calibri"/>
                <w:sz w:val="24"/>
                <w:szCs w:val="24"/>
              </w:rPr>
              <w:t>≤2,6</w:t>
            </w:r>
          </w:p>
        </w:tc>
        <w:tc>
          <w:tcPr>
            <w:tcW w:w="2835" w:type="dxa"/>
          </w:tcPr>
          <w:p w:rsidR="004F0266" w:rsidRPr="00EA5EEF" w:rsidRDefault="004F0266" w:rsidP="00BE6421">
            <w:pPr>
              <w:pStyle w:val="Sansinterligne"/>
              <w:rPr>
                <w:rFonts w:cs="Calibri"/>
                <w:sz w:val="24"/>
                <w:szCs w:val="24"/>
              </w:rPr>
            </w:pPr>
            <w:r w:rsidRPr="00EA5EEF">
              <w:rPr>
                <w:rFonts w:cs="Calibri"/>
                <w:sz w:val="24"/>
                <w:szCs w:val="24"/>
              </w:rPr>
              <w:t>Entre 2,6-3,2</w:t>
            </w:r>
          </w:p>
        </w:tc>
      </w:tr>
    </w:tbl>
    <w:p w:rsidR="004F0266" w:rsidRDefault="004F0266" w:rsidP="004534ED">
      <w:pPr>
        <w:rPr>
          <w:color w:val="000000" w:themeColor="text1"/>
        </w:rPr>
      </w:pPr>
    </w:p>
    <w:p w:rsidR="00BE6421" w:rsidRDefault="00BE6421" w:rsidP="00BE6421">
      <w:pPr>
        <w:pStyle w:val="Paragraphedeliste"/>
        <w:ind w:left="1080"/>
        <w:rPr>
          <w:b/>
          <w:sz w:val="28"/>
          <w:szCs w:val="28"/>
        </w:rPr>
      </w:pPr>
    </w:p>
    <w:p w:rsidR="00BE6421" w:rsidRDefault="00BE6421" w:rsidP="00BE6421">
      <w:pPr>
        <w:pStyle w:val="Paragraphedeliste"/>
        <w:ind w:left="1080"/>
        <w:rPr>
          <w:b/>
          <w:sz w:val="28"/>
          <w:szCs w:val="28"/>
        </w:rPr>
      </w:pPr>
    </w:p>
    <w:p w:rsidR="00490FA7" w:rsidRPr="00372D5B" w:rsidRDefault="00490FA7" w:rsidP="00CE19DF">
      <w:pPr>
        <w:pStyle w:val="Paragraphedeliste"/>
        <w:numPr>
          <w:ilvl w:val="0"/>
          <w:numId w:val="32"/>
        </w:numPr>
        <w:rPr>
          <w:b/>
          <w:sz w:val="28"/>
          <w:szCs w:val="28"/>
        </w:rPr>
      </w:pPr>
      <w:r w:rsidRPr="00372D5B">
        <w:rPr>
          <w:b/>
          <w:sz w:val="28"/>
          <w:szCs w:val="28"/>
        </w:rPr>
        <w:t>Moyens de Traitements :</w:t>
      </w:r>
    </w:p>
    <w:p w:rsidR="00BE6421" w:rsidRDefault="00A8529A" w:rsidP="00CE19DF">
      <w:pPr>
        <w:pStyle w:val="Paragraphedeliste"/>
        <w:numPr>
          <w:ilvl w:val="0"/>
          <w:numId w:val="33"/>
        </w:numPr>
        <w:rPr>
          <w:b/>
          <w:bCs/>
          <w:sz w:val="24"/>
          <w:szCs w:val="24"/>
        </w:rPr>
      </w:pPr>
      <w:r w:rsidRPr="00BE6421">
        <w:rPr>
          <w:b/>
          <w:bCs/>
          <w:sz w:val="24"/>
          <w:szCs w:val="24"/>
        </w:rPr>
        <w:t xml:space="preserve">Information du patient : </w:t>
      </w:r>
    </w:p>
    <w:p w:rsidR="00BE6421" w:rsidRDefault="00A8529A" w:rsidP="00CE19DF">
      <w:pPr>
        <w:pStyle w:val="Paragraphedeliste"/>
        <w:numPr>
          <w:ilvl w:val="0"/>
          <w:numId w:val="34"/>
        </w:numPr>
        <w:spacing w:line="240" w:lineRule="auto"/>
        <w:ind w:left="105"/>
        <w:jc w:val="both"/>
        <w:rPr>
          <w:sz w:val="24"/>
          <w:szCs w:val="24"/>
        </w:rPr>
      </w:pPr>
      <w:r w:rsidRPr="00BE6421">
        <w:rPr>
          <w:sz w:val="24"/>
          <w:szCs w:val="24"/>
        </w:rPr>
        <w:t xml:space="preserve">Elle doit être complète, honnête et équilibrée. </w:t>
      </w:r>
    </w:p>
    <w:p w:rsidR="00BE6421" w:rsidRDefault="00A8529A" w:rsidP="00CE19DF">
      <w:pPr>
        <w:pStyle w:val="Paragraphedeliste"/>
        <w:numPr>
          <w:ilvl w:val="0"/>
          <w:numId w:val="34"/>
        </w:numPr>
        <w:spacing w:line="240" w:lineRule="auto"/>
        <w:ind w:left="105"/>
        <w:jc w:val="both"/>
        <w:rPr>
          <w:sz w:val="24"/>
          <w:szCs w:val="24"/>
        </w:rPr>
      </w:pPr>
      <w:r w:rsidRPr="00BE6421">
        <w:rPr>
          <w:sz w:val="24"/>
          <w:szCs w:val="24"/>
        </w:rPr>
        <w:t xml:space="preserve">Elle doit être précoce et susceptible de rassurer le patient. </w:t>
      </w:r>
    </w:p>
    <w:p w:rsidR="00BE6421" w:rsidRDefault="00A8529A" w:rsidP="00CE19DF">
      <w:pPr>
        <w:pStyle w:val="Paragraphedeliste"/>
        <w:numPr>
          <w:ilvl w:val="0"/>
          <w:numId w:val="34"/>
        </w:numPr>
        <w:spacing w:line="240" w:lineRule="auto"/>
        <w:ind w:left="105"/>
        <w:jc w:val="both"/>
        <w:rPr>
          <w:sz w:val="24"/>
          <w:szCs w:val="24"/>
        </w:rPr>
      </w:pPr>
      <w:r w:rsidRPr="00BE6421">
        <w:rPr>
          <w:sz w:val="24"/>
          <w:szCs w:val="24"/>
        </w:rPr>
        <w:t>Elle doit être technique : expliquer les aspects de la maladie, les moyens thérapeutiques, les effets secondaires des traitements, leur surveillance, l’intérêt de l’utilisation des appareillages de repos.</w:t>
      </w:r>
    </w:p>
    <w:p w:rsidR="00BE6421" w:rsidRDefault="00A8529A" w:rsidP="00CE19DF">
      <w:pPr>
        <w:pStyle w:val="Paragraphedeliste"/>
        <w:numPr>
          <w:ilvl w:val="0"/>
          <w:numId w:val="34"/>
        </w:numPr>
        <w:spacing w:line="240" w:lineRule="auto"/>
        <w:ind w:left="105"/>
        <w:jc w:val="both"/>
        <w:rPr>
          <w:sz w:val="24"/>
          <w:szCs w:val="24"/>
        </w:rPr>
      </w:pPr>
      <w:r w:rsidRPr="00BE6421">
        <w:rPr>
          <w:sz w:val="24"/>
          <w:szCs w:val="24"/>
        </w:rPr>
        <w:t xml:space="preserve">Conseils pratiques : prévention du </w:t>
      </w:r>
      <w:proofErr w:type="spellStart"/>
      <w:r w:rsidRPr="00BE6421">
        <w:rPr>
          <w:sz w:val="24"/>
          <w:szCs w:val="24"/>
        </w:rPr>
        <w:t>flessum</w:t>
      </w:r>
      <w:proofErr w:type="spellEnd"/>
      <w:r w:rsidRPr="00BE6421">
        <w:rPr>
          <w:sz w:val="24"/>
          <w:szCs w:val="24"/>
        </w:rPr>
        <w:t xml:space="preserve"> du genou et de la hanche. </w:t>
      </w:r>
    </w:p>
    <w:p w:rsidR="00BE6421" w:rsidRDefault="00A8529A" w:rsidP="00CE19DF">
      <w:pPr>
        <w:pStyle w:val="Paragraphedeliste"/>
        <w:numPr>
          <w:ilvl w:val="0"/>
          <w:numId w:val="34"/>
        </w:numPr>
        <w:spacing w:line="240" w:lineRule="auto"/>
        <w:ind w:left="105"/>
        <w:jc w:val="both"/>
        <w:rPr>
          <w:sz w:val="24"/>
          <w:szCs w:val="24"/>
        </w:rPr>
      </w:pPr>
      <w:r w:rsidRPr="00BE6421">
        <w:rPr>
          <w:sz w:val="24"/>
          <w:szCs w:val="24"/>
        </w:rPr>
        <w:t>Associations de malades : jouant un rôle important.</w:t>
      </w:r>
    </w:p>
    <w:p w:rsidR="00495B65" w:rsidRDefault="00495B65" w:rsidP="00BE6421">
      <w:pPr>
        <w:spacing w:line="240" w:lineRule="auto"/>
        <w:ind w:left="-255"/>
        <w:jc w:val="both"/>
        <w:rPr>
          <w:rFonts w:cstheme="minorHAnsi"/>
          <w:b/>
          <w:bCs/>
          <w:color w:val="000000" w:themeColor="text1"/>
          <w:sz w:val="28"/>
          <w:szCs w:val="24"/>
        </w:rPr>
      </w:pPr>
    </w:p>
    <w:p w:rsidR="008B6571" w:rsidRPr="008B6571" w:rsidRDefault="00490FA7" w:rsidP="00CE19DF">
      <w:pPr>
        <w:pStyle w:val="Paragraphedeliste"/>
        <w:numPr>
          <w:ilvl w:val="0"/>
          <w:numId w:val="33"/>
        </w:numPr>
        <w:spacing w:line="240" w:lineRule="auto"/>
        <w:ind w:left="142" w:firstLine="218"/>
        <w:jc w:val="both"/>
        <w:rPr>
          <w:b/>
          <w:sz w:val="24"/>
          <w:szCs w:val="24"/>
        </w:rPr>
      </w:pPr>
      <w:r w:rsidRPr="00BE6421">
        <w:rPr>
          <w:rFonts w:cstheme="minorHAnsi"/>
          <w:b/>
          <w:bCs/>
          <w:color w:val="000000" w:themeColor="text1"/>
          <w:sz w:val="28"/>
          <w:szCs w:val="24"/>
        </w:rPr>
        <w:t>Traitements </w:t>
      </w:r>
      <w:r w:rsidR="00873817" w:rsidRPr="00BE6421">
        <w:rPr>
          <w:rFonts w:cstheme="minorHAnsi"/>
          <w:b/>
          <w:bCs/>
          <w:color w:val="000000" w:themeColor="text1"/>
          <w:sz w:val="28"/>
          <w:szCs w:val="24"/>
        </w:rPr>
        <w:t>médicamenteux</w:t>
      </w:r>
      <w:r w:rsidRPr="00BE6421">
        <w:rPr>
          <w:rFonts w:cstheme="minorHAnsi"/>
          <w:b/>
          <w:bCs/>
          <w:color w:val="000000" w:themeColor="text1"/>
          <w:sz w:val="28"/>
          <w:szCs w:val="24"/>
        </w:rPr>
        <w:t> :</w:t>
      </w:r>
    </w:p>
    <w:p w:rsidR="00490FA7" w:rsidRPr="008B6571" w:rsidRDefault="00490FA7" w:rsidP="008B6571">
      <w:pPr>
        <w:spacing w:line="240" w:lineRule="auto"/>
        <w:jc w:val="both"/>
        <w:rPr>
          <w:b/>
          <w:sz w:val="24"/>
          <w:szCs w:val="24"/>
        </w:rPr>
      </w:pPr>
      <w:r w:rsidRPr="008B6571">
        <w:rPr>
          <w:rFonts w:cstheme="minorHAnsi"/>
          <w:b/>
          <w:bCs/>
          <w:color w:val="000000" w:themeColor="text1"/>
          <w:sz w:val="28"/>
          <w:szCs w:val="24"/>
        </w:rPr>
        <w:t>*Traitements symptomatique :</w:t>
      </w:r>
    </w:p>
    <w:p w:rsidR="00490FA7" w:rsidRDefault="00490FA7" w:rsidP="00490FA7">
      <w:pPr>
        <w:rPr>
          <w:rFonts w:cstheme="minorHAnsi"/>
          <w:b/>
          <w:color w:val="000000" w:themeColor="text1"/>
          <w:sz w:val="28"/>
          <w:szCs w:val="24"/>
        </w:rPr>
      </w:pPr>
      <w:r w:rsidRPr="00BE6421">
        <w:rPr>
          <w:rFonts w:cstheme="minorHAnsi"/>
          <w:b/>
          <w:bCs/>
          <w:color w:val="000000" w:themeColor="text1"/>
          <w:sz w:val="28"/>
          <w:szCs w:val="24"/>
        </w:rPr>
        <w:t>a-</w:t>
      </w:r>
      <w:r w:rsidRPr="00BE6421">
        <w:rPr>
          <w:rFonts w:cstheme="minorHAnsi"/>
          <w:b/>
          <w:color w:val="000000" w:themeColor="text1"/>
          <w:sz w:val="28"/>
          <w:szCs w:val="24"/>
        </w:rPr>
        <w:t xml:space="preserve"> Les antalgiques. </w:t>
      </w:r>
    </w:p>
    <w:p w:rsidR="00EC4B4F" w:rsidRPr="00EC4B4F" w:rsidRDefault="00EC4B4F" w:rsidP="00EC4B4F">
      <w:pPr>
        <w:spacing w:after="0"/>
        <w:rPr>
          <w:rFonts w:cstheme="minorHAnsi"/>
          <w:color w:val="000000" w:themeColor="text1"/>
          <w:sz w:val="24"/>
          <w:szCs w:val="24"/>
        </w:rPr>
      </w:pPr>
      <w:r w:rsidRPr="00EC4B4F">
        <w:rPr>
          <w:rFonts w:cstheme="minorHAnsi"/>
          <w:color w:val="000000" w:themeColor="text1"/>
          <w:sz w:val="24"/>
          <w:szCs w:val="24"/>
        </w:rPr>
        <w:t>*PARACETAMOL </w:t>
      </w:r>
      <w:r w:rsidRPr="00EC4B4F">
        <w:rPr>
          <w:rFonts w:cstheme="minorHAnsi"/>
          <w:color w:val="000000" w:themeColor="text1"/>
          <w:sz w:val="24"/>
          <w:szCs w:val="24"/>
        </w:rPr>
        <w:t>: Le</w:t>
      </w:r>
      <w:r w:rsidRPr="00EC4B4F">
        <w:rPr>
          <w:rFonts w:cstheme="minorHAnsi"/>
          <w:color w:val="000000" w:themeColor="text1"/>
          <w:sz w:val="24"/>
          <w:szCs w:val="24"/>
        </w:rPr>
        <w:t xml:space="preserve"> plus utilisé  à la posologie de 2 à 3 g /</w:t>
      </w:r>
      <w:proofErr w:type="gramStart"/>
      <w:r w:rsidRPr="00EC4B4F">
        <w:rPr>
          <w:rFonts w:cstheme="minorHAnsi"/>
          <w:color w:val="000000" w:themeColor="text1"/>
          <w:sz w:val="24"/>
          <w:szCs w:val="24"/>
        </w:rPr>
        <w:t>j .</w:t>
      </w:r>
      <w:proofErr w:type="gramEnd"/>
    </w:p>
    <w:p w:rsidR="00EC4B4F" w:rsidRPr="00EC4B4F" w:rsidRDefault="00EC4B4F" w:rsidP="00EC4B4F">
      <w:pPr>
        <w:spacing w:after="0"/>
        <w:rPr>
          <w:rFonts w:cstheme="minorHAnsi"/>
          <w:color w:val="000000" w:themeColor="text1"/>
          <w:sz w:val="24"/>
          <w:szCs w:val="24"/>
        </w:rPr>
      </w:pPr>
      <w:r w:rsidRPr="00EC4B4F">
        <w:rPr>
          <w:rFonts w:cstheme="minorHAnsi"/>
          <w:color w:val="000000" w:themeColor="text1"/>
          <w:sz w:val="24"/>
          <w:szCs w:val="24"/>
        </w:rPr>
        <w:t xml:space="preserve">Effets secondaires: </w:t>
      </w:r>
    </w:p>
    <w:p w:rsidR="00EC4B4F" w:rsidRPr="00EC4B4F" w:rsidRDefault="00EC4B4F" w:rsidP="00EC4B4F">
      <w:pPr>
        <w:spacing w:after="0"/>
        <w:rPr>
          <w:rFonts w:cstheme="minorHAnsi"/>
          <w:color w:val="000000" w:themeColor="text1"/>
          <w:sz w:val="24"/>
          <w:szCs w:val="24"/>
        </w:rPr>
      </w:pPr>
      <w:r w:rsidRPr="00EC4B4F">
        <w:rPr>
          <w:rFonts w:cstheme="minorHAnsi"/>
          <w:color w:val="000000" w:themeColor="text1"/>
          <w:sz w:val="24"/>
          <w:szCs w:val="24"/>
        </w:rPr>
        <w:t>- Accidents allergiques : rares (</w:t>
      </w:r>
      <w:proofErr w:type="gramStart"/>
      <w:r w:rsidRPr="00EC4B4F">
        <w:rPr>
          <w:rFonts w:cstheme="minorHAnsi"/>
          <w:color w:val="000000" w:themeColor="text1"/>
          <w:sz w:val="24"/>
          <w:szCs w:val="24"/>
        </w:rPr>
        <w:t>rash ,</w:t>
      </w:r>
      <w:proofErr w:type="gramEnd"/>
      <w:r w:rsidRPr="00EC4B4F">
        <w:rPr>
          <w:rFonts w:cstheme="minorHAnsi"/>
          <w:color w:val="000000" w:themeColor="text1"/>
          <w:sz w:val="24"/>
          <w:szCs w:val="24"/>
        </w:rPr>
        <w:t xml:space="preserve"> érythème ou urticaire) </w:t>
      </w:r>
    </w:p>
    <w:p w:rsidR="00EC4B4F" w:rsidRPr="00EC4B4F" w:rsidRDefault="00EC4B4F" w:rsidP="00EC4B4F">
      <w:pPr>
        <w:spacing w:after="0"/>
        <w:rPr>
          <w:rFonts w:cstheme="minorHAnsi"/>
          <w:color w:val="000000" w:themeColor="text1"/>
          <w:sz w:val="24"/>
          <w:szCs w:val="24"/>
        </w:rPr>
      </w:pPr>
      <w:r w:rsidRPr="00EC4B4F">
        <w:rPr>
          <w:rFonts w:cstheme="minorHAnsi"/>
          <w:color w:val="000000" w:themeColor="text1"/>
          <w:sz w:val="24"/>
          <w:szCs w:val="24"/>
        </w:rPr>
        <w:t xml:space="preserve">- Thrombopénie  </w:t>
      </w:r>
    </w:p>
    <w:p w:rsidR="00EC4B4F" w:rsidRPr="00EC4B4F" w:rsidRDefault="00EC4B4F" w:rsidP="00EC4B4F">
      <w:pPr>
        <w:spacing w:after="0"/>
        <w:rPr>
          <w:rFonts w:cstheme="minorHAnsi"/>
          <w:color w:val="000000" w:themeColor="text1"/>
          <w:sz w:val="24"/>
          <w:szCs w:val="24"/>
        </w:rPr>
      </w:pPr>
      <w:r w:rsidRPr="00EC4B4F">
        <w:rPr>
          <w:rFonts w:cstheme="minorHAnsi"/>
          <w:color w:val="000000" w:themeColor="text1"/>
          <w:sz w:val="24"/>
          <w:szCs w:val="24"/>
        </w:rPr>
        <w:lastRenderedPageBreak/>
        <w:t>- Toxi</w:t>
      </w:r>
      <w:r w:rsidR="00EA07C7">
        <w:rPr>
          <w:rFonts w:cstheme="minorHAnsi"/>
          <w:color w:val="000000" w:themeColor="text1"/>
          <w:sz w:val="24"/>
          <w:szCs w:val="24"/>
        </w:rPr>
        <w:t xml:space="preserve">cité hépatique : </w:t>
      </w:r>
      <w:r w:rsidRPr="00EC4B4F">
        <w:rPr>
          <w:rFonts w:cstheme="minorHAnsi"/>
          <w:color w:val="000000" w:themeColor="text1"/>
          <w:sz w:val="24"/>
          <w:szCs w:val="24"/>
        </w:rPr>
        <w:t>un surdosage, à partir de 10 g  en une seule prise: cytolyse hépatique,</w:t>
      </w:r>
    </w:p>
    <w:p w:rsidR="00EC4B4F" w:rsidRPr="00EC4B4F" w:rsidRDefault="00EC4B4F" w:rsidP="00EC4B4F">
      <w:pPr>
        <w:spacing w:after="0"/>
        <w:rPr>
          <w:rFonts w:cstheme="minorHAnsi"/>
          <w:color w:val="000000" w:themeColor="text1"/>
          <w:sz w:val="24"/>
          <w:szCs w:val="24"/>
        </w:rPr>
      </w:pPr>
      <w:r w:rsidRPr="00EC4B4F">
        <w:rPr>
          <w:rFonts w:cstheme="minorHAnsi"/>
          <w:color w:val="000000" w:themeColor="text1"/>
          <w:sz w:val="24"/>
          <w:szCs w:val="24"/>
        </w:rPr>
        <w:t>- Chez l'insuffisant rénal sévère (clairance inférieure à 10 ml/min) la posologie est de moitié et l'intervalle entre 2 prises est de 8 heures.</w:t>
      </w:r>
    </w:p>
    <w:p w:rsidR="00EC4B4F" w:rsidRDefault="00EC4B4F" w:rsidP="00EC4B4F">
      <w:pPr>
        <w:spacing w:after="0"/>
        <w:rPr>
          <w:rFonts w:cstheme="minorHAnsi"/>
          <w:color w:val="000000" w:themeColor="text1"/>
          <w:sz w:val="24"/>
          <w:szCs w:val="24"/>
        </w:rPr>
      </w:pPr>
      <w:r w:rsidRPr="00EC4B4F">
        <w:rPr>
          <w:rFonts w:cstheme="minorHAnsi"/>
          <w:color w:val="000000" w:themeColor="text1"/>
          <w:sz w:val="24"/>
          <w:szCs w:val="24"/>
        </w:rPr>
        <w:t>Il est possible de le prescrire chez une femme enceinte.</w:t>
      </w:r>
    </w:p>
    <w:p w:rsidR="00EA07C7" w:rsidRPr="00EA07C7" w:rsidRDefault="00EA07C7" w:rsidP="00EA07C7">
      <w:pPr>
        <w:spacing w:after="0"/>
        <w:rPr>
          <w:rFonts w:cstheme="minorHAnsi"/>
          <w:b/>
          <w:color w:val="000000" w:themeColor="text1"/>
          <w:sz w:val="24"/>
          <w:szCs w:val="24"/>
        </w:rPr>
      </w:pPr>
      <w:r w:rsidRPr="00EA07C7">
        <w:rPr>
          <w:rFonts w:cstheme="minorHAnsi"/>
          <w:b/>
          <w:color w:val="000000" w:themeColor="text1"/>
          <w:sz w:val="24"/>
          <w:szCs w:val="24"/>
        </w:rPr>
        <w:t xml:space="preserve">Les  Antalgiques de niveau II : </w:t>
      </w:r>
    </w:p>
    <w:p w:rsidR="00EA07C7" w:rsidRPr="00EA07C7" w:rsidRDefault="00EA07C7" w:rsidP="00EA07C7">
      <w:pPr>
        <w:spacing w:after="0"/>
        <w:rPr>
          <w:rFonts w:cstheme="minorHAnsi"/>
          <w:color w:val="000000" w:themeColor="text1"/>
          <w:sz w:val="24"/>
          <w:szCs w:val="24"/>
        </w:rPr>
      </w:pPr>
      <w:r w:rsidRPr="00EA07C7">
        <w:rPr>
          <w:rFonts w:cstheme="minorHAnsi"/>
          <w:color w:val="000000" w:themeColor="text1"/>
          <w:sz w:val="24"/>
          <w:szCs w:val="24"/>
        </w:rPr>
        <w:t xml:space="preserve"> Paracétamol + antalgique central : opioïde faible : </w:t>
      </w:r>
      <w:proofErr w:type="spellStart"/>
      <w:r w:rsidRPr="00EA07C7">
        <w:rPr>
          <w:rFonts w:cstheme="minorHAnsi"/>
          <w:color w:val="000000" w:themeColor="text1"/>
          <w:sz w:val="24"/>
          <w:szCs w:val="24"/>
        </w:rPr>
        <w:t>tramadol</w:t>
      </w:r>
      <w:proofErr w:type="spellEnd"/>
      <w:r w:rsidRPr="00EA07C7">
        <w:rPr>
          <w:rFonts w:cstheme="minorHAnsi"/>
          <w:color w:val="000000" w:themeColor="text1"/>
          <w:sz w:val="24"/>
          <w:szCs w:val="24"/>
        </w:rPr>
        <w:t xml:space="preserve"> ou </w:t>
      </w:r>
      <w:r w:rsidRPr="00EA07C7">
        <w:rPr>
          <w:rFonts w:cstheme="minorHAnsi"/>
          <w:color w:val="000000" w:themeColor="text1"/>
          <w:sz w:val="24"/>
          <w:szCs w:val="24"/>
        </w:rPr>
        <w:t>codéine.</w:t>
      </w:r>
    </w:p>
    <w:p w:rsidR="00EA07C7" w:rsidRDefault="00EA07C7" w:rsidP="00EA07C7">
      <w:pPr>
        <w:spacing w:after="0"/>
        <w:rPr>
          <w:rFonts w:cstheme="minorHAnsi"/>
          <w:color w:val="000000" w:themeColor="text1"/>
          <w:sz w:val="24"/>
          <w:szCs w:val="24"/>
        </w:rPr>
      </w:pPr>
      <w:r w:rsidRPr="00EA07C7">
        <w:rPr>
          <w:rFonts w:cstheme="minorHAnsi"/>
          <w:color w:val="000000" w:themeColor="text1"/>
          <w:sz w:val="24"/>
          <w:szCs w:val="24"/>
        </w:rPr>
        <w:t>Paracétamol + codéine : L'Efferalgan Codéine</w:t>
      </w:r>
      <w:r>
        <w:rPr>
          <w:rFonts w:cstheme="minorHAnsi"/>
          <w:color w:val="000000" w:themeColor="text1"/>
          <w:sz w:val="24"/>
          <w:szCs w:val="24"/>
        </w:rPr>
        <w:t xml:space="preserve">, </w:t>
      </w:r>
      <w:r w:rsidRPr="00EA07C7">
        <w:rPr>
          <w:rFonts w:cstheme="minorHAnsi"/>
          <w:color w:val="000000" w:themeColor="text1"/>
          <w:sz w:val="24"/>
          <w:szCs w:val="24"/>
        </w:rPr>
        <w:t xml:space="preserve">Paracétamol + </w:t>
      </w:r>
      <w:proofErr w:type="spellStart"/>
      <w:r w:rsidRPr="00EA07C7">
        <w:rPr>
          <w:rFonts w:cstheme="minorHAnsi"/>
          <w:color w:val="000000" w:themeColor="text1"/>
          <w:sz w:val="24"/>
          <w:szCs w:val="24"/>
        </w:rPr>
        <w:t>Tramadol</w:t>
      </w:r>
      <w:proofErr w:type="spellEnd"/>
      <w:r w:rsidRPr="00EA07C7">
        <w:rPr>
          <w:rFonts w:cstheme="minorHAnsi"/>
          <w:color w:val="000000" w:themeColor="text1"/>
          <w:sz w:val="24"/>
          <w:szCs w:val="24"/>
        </w:rPr>
        <w:t xml:space="preserve">: </w:t>
      </w:r>
      <w:proofErr w:type="spellStart"/>
      <w:r w:rsidRPr="00EA07C7">
        <w:rPr>
          <w:rFonts w:cstheme="minorHAnsi"/>
          <w:color w:val="000000" w:themeColor="text1"/>
          <w:sz w:val="24"/>
          <w:szCs w:val="24"/>
        </w:rPr>
        <w:t>xalgesic</w:t>
      </w:r>
      <w:proofErr w:type="spellEnd"/>
      <w:r w:rsidRPr="00EA07C7">
        <w:rPr>
          <w:rFonts w:cstheme="minorHAnsi"/>
          <w:color w:val="000000" w:themeColor="text1"/>
          <w:sz w:val="24"/>
          <w:szCs w:val="24"/>
        </w:rPr>
        <w:t xml:space="preserve">   </w:t>
      </w:r>
    </w:p>
    <w:p w:rsidR="00E06FB1" w:rsidRPr="00E06FB1" w:rsidRDefault="00E06FB1" w:rsidP="00E06FB1">
      <w:pPr>
        <w:spacing w:after="0"/>
        <w:ind w:firstLine="708"/>
        <w:rPr>
          <w:rFonts w:cstheme="minorHAnsi"/>
          <w:b/>
          <w:color w:val="000000" w:themeColor="text1"/>
          <w:sz w:val="24"/>
          <w:szCs w:val="24"/>
        </w:rPr>
      </w:pPr>
      <w:r w:rsidRPr="00E06FB1">
        <w:rPr>
          <w:rFonts w:cstheme="minorHAnsi"/>
          <w:b/>
          <w:color w:val="000000" w:themeColor="text1"/>
          <w:sz w:val="24"/>
          <w:szCs w:val="24"/>
        </w:rPr>
        <w:t>Effets secondaires :</w:t>
      </w:r>
    </w:p>
    <w:p w:rsidR="00E06FB1" w:rsidRPr="00E06FB1" w:rsidRDefault="00E06FB1" w:rsidP="00E06FB1">
      <w:pPr>
        <w:spacing w:after="0"/>
        <w:rPr>
          <w:rFonts w:cstheme="minorHAnsi"/>
          <w:color w:val="000000" w:themeColor="text1"/>
          <w:sz w:val="24"/>
          <w:szCs w:val="24"/>
        </w:rPr>
      </w:pPr>
      <w:r w:rsidRPr="00E06FB1">
        <w:rPr>
          <w:rFonts w:cstheme="minorHAnsi"/>
          <w:color w:val="000000" w:themeColor="text1"/>
          <w:sz w:val="24"/>
          <w:szCs w:val="24"/>
        </w:rPr>
        <w:t xml:space="preserve">Somnolence, nausées, vomissements, plus ou moins constipation et peut induire des hypoglycémies et des hépatites mixtes. </w:t>
      </w:r>
    </w:p>
    <w:p w:rsidR="00E06FB1" w:rsidRPr="00E06FB1" w:rsidRDefault="00E06FB1" w:rsidP="00E06FB1">
      <w:pPr>
        <w:spacing w:after="0"/>
        <w:rPr>
          <w:rFonts w:cstheme="minorHAnsi"/>
          <w:color w:val="000000" w:themeColor="text1"/>
          <w:sz w:val="24"/>
          <w:szCs w:val="24"/>
        </w:rPr>
      </w:pPr>
      <w:r w:rsidRPr="00E06FB1">
        <w:rPr>
          <w:rFonts w:cstheme="minorHAnsi"/>
          <w:color w:val="000000" w:themeColor="text1"/>
          <w:sz w:val="24"/>
          <w:szCs w:val="24"/>
        </w:rPr>
        <w:t>En cas d'into</w:t>
      </w:r>
      <w:bookmarkStart w:id="0" w:name="_GoBack"/>
      <w:bookmarkEnd w:id="0"/>
      <w:r w:rsidRPr="00E06FB1">
        <w:rPr>
          <w:rFonts w:cstheme="minorHAnsi"/>
          <w:color w:val="000000" w:themeColor="text1"/>
          <w:sz w:val="24"/>
          <w:szCs w:val="24"/>
        </w:rPr>
        <w:t xml:space="preserve">xication aiguë, il existe un risque de dépression respiratoire et de </w:t>
      </w:r>
      <w:proofErr w:type="spellStart"/>
      <w:r w:rsidRPr="00E06FB1">
        <w:rPr>
          <w:rFonts w:cstheme="minorHAnsi"/>
          <w:color w:val="000000" w:themeColor="text1"/>
          <w:sz w:val="24"/>
          <w:szCs w:val="24"/>
        </w:rPr>
        <w:t>cardiotoxicité</w:t>
      </w:r>
      <w:proofErr w:type="spellEnd"/>
      <w:r w:rsidRPr="00E06FB1">
        <w:rPr>
          <w:rFonts w:cstheme="minorHAnsi"/>
          <w:color w:val="000000" w:themeColor="text1"/>
          <w:sz w:val="24"/>
          <w:szCs w:val="24"/>
        </w:rPr>
        <w:t>.</w:t>
      </w:r>
    </w:p>
    <w:p w:rsidR="00E06FB1" w:rsidRPr="00E06FB1" w:rsidRDefault="00E06FB1" w:rsidP="00E06FB1">
      <w:pPr>
        <w:spacing w:after="0"/>
        <w:rPr>
          <w:rFonts w:cstheme="minorHAnsi"/>
          <w:color w:val="000000" w:themeColor="text1"/>
          <w:sz w:val="24"/>
          <w:szCs w:val="24"/>
        </w:rPr>
      </w:pPr>
      <w:r w:rsidRPr="00E06FB1">
        <w:rPr>
          <w:rFonts w:cstheme="minorHAnsi"/>
          <w:color w:val="000000" w:themeColor="text1"/>
          <w:sz w:val="24"/>
          <w:szCs w:val="24"/>
        </w:rPr>
        <w:t xml:space="preserve">Contre-indications : </w:t>
      </w:r>
    </w:p>
    <w:p w:rsidR="00E06FB1" w:rsidRPr="00E06FB1" w:rsidRDefault="00E06FB1" w:rsidP="00E06FB1">
      <w:pPr>
        <w:spacing w:after="0"/>
        <w:rPr>
          <w:rFonts w:cstheme="minorHAnsi"/>
          <w:color w:val="000000" w:themeColor="text1"/>
          <w:sz w:val="24"/>
          <w:szCs w:val="24"/>
        </w:rPr>
      </w:pPr>
      <w:r w:rsidRPr="00E06FB1">
        <w:rPr>
          <w:rFonts w:cstheme="minorHAnsi"/>
          <w:color w:val="000000" w:themeColor="text1"/>
          <w:sz w:val="24"/>
          <w:szCs w:val="24"/>
        </w:rPr>
        <w:t> </w:t>
      </w:r>
      <w:proofErr w:type="gramStart"/>
      <w:r w:rsidRPr="00E06FB1">
        <w:rPr>
          <w:rFonts w:cstheme="minorHAnsi"/>
          <w:color w:val="000000" w:themeColor="text1"/>
          <w:sz w:val="24"/>
          <w:szCs w:val="24"/>
        </w:rPr>
        <w:t>sont</w:t>
      </w:r>
      <w:proofErr w:type="gramEnd"/>
      <w:r w:rsidRPr="00E06FB1">
        <w:rPr>
          <w:rFonts w:cstheme="minorHAnsi"/>
          <w:color w:val="000000" w:themeColor="text1"/>
          <w:sz w:val="24"/>
          <w:szCs w:val="24"/>
        </w:rPr>
        <w:t xml:space="preserve"> l'hypersensibilité au principe actif, l'insuffisance rénale sévère,</w:t>
      </w:r>
    </w:p>
    <w:p w:rsidR="00E06FB1" w:rsidRDefault="00E06FB1" w:rsidP="00E06FB1">
      <w:pPr>
        <w:spacing w:after="0"/>
        <w:rPr>
          <w:rFonts w:cstheme="minorHAnsi"/>
          <w:color w:val="000000" w:themeColor="text1"/>
          <w:sz w:val="24"/>
          <w:szCs w:val="24"/>
        </w:rPr>
      </w:pPr>
      <w:r w:rsidRPr="00E06FB1">
        <w:rPr>
          <w:rFonts w:cstheme="minorHAnsi"/>
          <w:color w:val="000000" w:themeColor="text1"/>
          <w:sz w:val="24"/>
          <w:szCs w:val="24"/>
        </w:rPr>
        <w:t xml:space="preserve">la grossesse et </w:t>
      </w:r>
      <w:proofErr w:type="gramStart"/>
      <w:r w:rsidRPr="00E06FB1">
        <w:rPr>
          <w:rFonts w:cstheme="minorHAnsi"/>
          <w:color w:val="000000" w:themeColor="text1"/>
          <w:sz w:val="24"/>
          <w:szCs w:val="24"/>
        </w:rPr>
        <w:t>l'allaitement .</w:t>
      </w:r>
      <w:proofErr w:type="gramEnd"/>
    </w:p>
    <w:tbl>
      <w:tblPr>
        <w:tblStyle w:val="Grilledutableau"/>
        <w:tblW w:w="0" w:type="auto"/>
        <w:tblInd w:w="534" w:type="dxa"/>
        <w:tblLook w:val="04A0" w:firstRow="1" w:lastRow="0" w:firstColumn="1" w:lastColumn="0" w:noHBand="0" w:noVBand="1"/>
      </w:tblPr>
      <w:tblGrid>
        <w:gridCol w:w="8221"/>
      </w:tblGrid>
      <w:tr w:rsidR="00E06FB1" w:rsidTr="00E06FB1">
        <w:tc>
          <w:tcPr>
            <w:tcW w:w="8221" w:type="dxa"/>
          </w:tcPr>
          <w:p w:rsidR="00E06FB1" w:rsidRPr="00E06FB1" w:rsidRDefault="00E06FB1" w:rsidP="00E06FB1">
            <w:pPr>
              <w:jc w:val="center"/>
              <w:rPr>
                <w:rFonts w:cstheme="minorHAnsi"/>
                <w:color w:val="FF0000"/>
                <w:sz w:val="24"/>
                <w:szCs w:val="24"/>
              </w:rPr>
            </w:pPr>
            <w:r w:rsidRPr="00E06FB1">
              <w:rPr>
                <w:rFonts w:cstheme="minorHAnsi"/>
                <w:color w:val="FF0000"/>
                <w:sz w:val="24"/>
                <w:szCs w:val="24"/>
              </w:rPr>
              <w:t>Le recours aux antalgiques morphiniques est exceptionnel au cours</w:t>
            </w:r>
          </w:p>
          <w:p w:rsidR="00E06FB1" w:rsidRDefault="00E06FB1" w:rsidP="00E06FB1">
            <w:pPr>
              <w:jc w:val="center"/>
              <w:rPr>
                <w:rFonts w:cstheme="minorHAnsi"/>
                <w:color w:val="000000" w:themeColor="text1"/>
                <w:sz w:val="24"/>
                <w:szCs w:val="24"/>
              </w:rPr>
            </w:pPr>
            <w:r w:rsidRPr="00E06FB1">
              <w:rPr>
                <w:rFonts w:cstheme="minorHAnsi"/>
                <w:color w:val="FF0000"/>
                <w:sz w:val="24"/>
                <w:szCs w:val="24"/>
              </w:rPr>
              <w:t>de la polyarthrite rhumatoïde.</w:t>
            </w:r>
          </w:p>
        </w:tc>
      </w:tr>
    </w:tbl>
    <w:p w:rsidR="00E06FB1" w:rsidRDefault="00E06FB1" w:rsidP="00E06FB1">
      <w:pPr>
        <w:spacing w:after="0"/>
        <w:rPr>
          <w:rFonts w:cstheme="minorHAnsi"/>
          <w:color w:val="000000" w:themeColor="text1"/>
          <w:sz w:val="24"/>
          <w:szCs w:val="24"/>
        </w:rPr>
      </w:pPr>
    </w:p>
    <w:p w:rsidR="00EA07C7" w:rsidRDefault="00490FA7" w:rsidP="00EA07C7">
      <w:pPr>
        <w:rPr>
          <w:rFonts w:cstheme="minorHAnsi"/>
          <w:b/>
          <w:color w:val="000000" w:themeColor="text1"/>
          <w:sz w:val="28"/>
          <w:szCs w:val="24"/>
        </w:rPr>
      </w:pPr>
      <w:r w:rsidRPr="00BE6421">
        <w:rPr>
          <w:rFonts w:cstheme="minorHAnsi"/>
          <w:b/>
          <w:bCs/>
          <w:color w:val="000000" w:themeColor="text1"/>
          <w:sz w:val="28"/>
          <w:szCs w:val="24"/>
        </w:rPr>
        <w:t>b-</w:t>
      </w:r>
      <w:r w:rsidRPr="00BE6421">
        <w:rPr>
          <w:rFonts w:cstheme="minorHAnsi"/>
          <w:b/>
          <w:color w:val="000000" w:themeColor="text1"/>
          <w:sz w:val="28"/>
          <w:szCs w:val="24"/>
        </w:rPr>
        <w:t xml:space="preserve"> Les anti-i</w:t>
      </w:r>
      <w:r w:rsidR="00EA07C7">
        <w:rPr>
          <w:rFonts w:cstheme="minorHAnsi"/>
          <w:b/>
          <w:color w:val="000000" w:themeColor="text1"/>
          <w:sz w:val="28"/>
          <w:szCs w:val="24"/>
        </w:rPr>
        <w:t>nflammatoires non stéroïdiens :</w:t>
      </w:r>
    </w:p>
    <w:p w:rsidR="00E06FB1" w:rsidRDefault="00E06FB1" w:rsidP="00E06FB1">
      <w:pPr>
        <w:spacing w:after="0"/>
        <w:jc w:val="both"/>
        <w:rPr>
          <w:rFonts w:cstheme="minorHAnsi"/>
          <w:color w:val="000000" w:themeColor="text1"/>
          <w:sz w:val="24"/>
          <w:szCs w:val="24"/>
        </w:rPr>
      </w:pPr>
      <w:r w:rsidRPr="00E06FB1">
        <w:rPr>
          <w:rFonts w:cstheme="minorHAnsi"/>
          <w:color w:val="000000" w:themeColor="text1"/>
          <w:sz w:val="24"/>
          <w:szCs w:val="24"/>
        </w:rPr>
        <w:t xml:space="preserve">En première intention au cours des premières semaines </w:t>
      </w:r>
      <w:r w:rsidRPr="00E06FB1">
        <w:rPr>
          <w:rFonts w:cstheme="minorHAnsi"/>
          <w:color w:val="000000" w:themeColor="text1"/>
          <w:sz w:val="24"/>
          <w:szCs w:val="24"/>
        </w:rPr>
        <w:t>d’évolution,</w:t>
      </w:r>
      <w:r w:rsidRPr="00E06FB1">
        <w:rPr>
          <w:rFonts w:cstheme="minorHAnsi"/>
          <w:color w:val="000000" w:themeColor="text1"/>
          <w:sz w:val="24"/>
          <w:szCs w:val="24"/>
        </w:rPr>
        <w:t xml:space="preserve"> avant l’établissement du diagnostic. </w:t>
      </w:r>
    </w:p>
    <w:p w:rsidR="00E06FB1" w:rsidRPr="00E06FB1" w:rsidRDefault="00E06FB1" w:rsidP="00E06FB1">
      <w:pPr>
        <w:spacing w:after="0"/>
        <w:jc w:val="both"/>
        <w:rPr>
          <w:rFonts w:cstheme="minorHAnsi"/>
          <w:color w:val="000000" w:themeColor="text1"/>
          <w:sz w:val="24"/>
          <w:szCs w:val="24"/>
        </w:rPr>
      </w:pPr>
      <w:r w:rsidRPr="00E06FB1">
        <w:rPr>
          <w:rFonts w:cstheme="minorHAnsi"/>
          <w:color w:val="000000" w:themeColor="text1"/>
          <w:sz w:val="24"/>
          <w:szCs w:val="24"/>
        </w:rPr>
        <w:t>Efficaces sur les douleurs inflammatoires, les gonflements et la raideur matinale.</w:t>
      </w:r>
    </w:p>
    <w:p w:rsidR="00E06FB1" w:rsidRPr="00E06FB1" w:rsidRDefault="00E06FB1" w:rsidP="00E06FB1">
      <w:pPr>
        <w:spacing w:after="0"/>
        <w:jc w:val="both"/>
        <w:rPr>
          <w:rFonts w:cstheme="minorHAnsi"/>
          <w:color w:val="000000" w:themeColor="text1"/>
          <w:sz w:val="24"/>
          <w:szCs w:val="24"/>
        </w:rPr>
      </w:pPr>
      <w:r w:rsidRPr="00E06FB1">
        <w:rPr>
          <w:rFonts w:cstheme="minorHAnsi"/>
          <w:color w:val="000000" w:themeColor="text1"/>
          <w:sz w:val="24"/>
          <w:szCs w:val="24"/>
        </w:rPr>
        <w:t>Utilisés seuls n’empêchent pas la progression clinique ni structurale.</w:t>
      </w:r>
    </w:p>
    <w:p w:rsidR="00E06FB1" w:rsidRPr="00E06FB1" w:rsidRDefault="00E06FB1" w:rsidP="00E06FB1">
      <w:pPr>
        <w:spacing w:after="0"/>
        <w:jc w:val="both"/>
        <w:rPr>
          <w:rFonts w:cstheme="minorHAnsi"/>
          <w:color w:val="000000" w:themeColor="text1"/>
          <w:sz w:val="24"/>
          <w:szCs w:val="24"/>
        </w:rPr>
      </w:pPr>
      <w:r w:rsidRPr="00E06FB1">
        <w:rPr>
          <w:rFonts w:cstheme="minorHAnsi"/>
          <w:color w:val="000000" w:themeColor="text1"/>
          <w:sz w:val="24"/>
          <w:szCs w:val="24"/>
        </w:rPr>
        <w:t>On peut proposer soit :</w:t>
      </w:r>
    </w:p>
    <w:p w:rsidR="00E06FB1" w:rsidRPr="00E06FB1" w:rsidRDefault="00E06FB1" w:rsidP="00CE19DF">
      <w:pPr>
        <w:pStyle w:val="Paragraphedeliste"/>
        <w:numPr>
          <w:ilvl w:val="0"/>
          <w:numId w:val="35"/>
        </w:numPr>
        <w:spacing w:after="0"/>
        <w:jc w:val="both"/>
        <w:rPr>
          <w:rFonts w:cstheme="minorHAnsi"/>
          <w:color w:val="000000" w:themeColor="text1"/>
          <w:sz w:val="24"/>
          <w:szCs w:val="24"/>
        </w:rPr>
      </w:pPr>
      <w:r w:rsidRPr="00E06FB1">
        <w:rPr>
          <w:rFonts w:cstheme="minorHAnsi"/>
          <w:color w:val="000000" w:themeColor="text1"/>
          <w:sz w:val="24"/>
          <w:szCs w:val="24"/>
        </w:rPr>
        <w:t xml:space="preserve">des dérivés </w:t>
      </w:r>
      <w:proofErr w:type="spellStart"/>
      <w:r w:rsidRPr="00E06FB1">
        <w:rPr>
          <w:rFonts w:cstheme="minorHAnsi"/>
          <w:color w:val="000000" w:themeColor="text1"/>
          <w:sz w:val="24"/>
          <w:szCs w:val="24"/>
        </w:rPr>
        <w:t>propioniques:kétoprofène</w:t>
      </w:r>
      <w:proofErr w:type="spellEnd"/>
      <w:proofErr w:type="gramStart"/>
      <w:r w:rsidRPr="00E06FB1">
        <w:rPr>
          <w:rFonts w:cstheme="minorHAnsi"/>
          <w:color w:val="000000" w:themeColor="text1"/>
          <w:sz w:val="24"/>
          <w:szCs w:val="24"/>
        </w:rPr>
        <w:t>,:</w:t>
      </w:r>
      <w:proofErr w:type="gramEnd"/>
      <w:r w:rsidRPr="00E06FB1">
        <w:rPr>
          <w:rFonts w:cstheme="minorHAnsi"/>
          <w:color w:val="000000" w:themeColor="text1"/>
          <w:sz w:val="24"/>
          <w:szCs w:val="24"/>
        </w:rPr>
        <w:t xml:space="preserve"> </w:t>
      </w:r>
      <w:proofErr w:type="spellStart"/>
      <w:r w:rsidRPr="00E06FB1">
        <w:rPr>
          <w:rFonts w:cstheme="minorHAnsi"/>
          <w:color w:val="000000" w:themeColor="text1"/>
          <w:sz w:val="24"/>
          <w:szCs w:val="24"/>
        </w:rPr>
        <w:t>Profenid</w:t>
      </w:r>
      <w:proofErr w:type="spellEnd"/>
      <w:r w:rsidRPr="00E06FB1">
        <w:rPr>
          <w:rFonts w:cstheme="minorHAnsi"/>
          <w:color w:val="000000" w:themeColor="text1"/>
          <w:sz w:val="24"/>
          <w:szCs w:val="24"/>
        </w:rPr>
        <w:t xml:space="preserve"> : 100 à200 mg/j</w:t>
      </w:r>
    </w:p>
    <w:p w:rsidR="00E06FB1" w:rsidRPr="00E06FB1" w:rsidRDefault="00E06FB1" w:rsidP="00CE19DF">
      <w:pPr>
        <w:pStyle w:val="Paragraphedeliste"/>
        <w:numPr>
          <w:ilvl w:val="0"/>
          <w:numId w:val="35"/>
        </w:numPr>
        <w:spacing w:after="0"/>
        <w:jc w:val="both"/>
        <w:rPr>
          <w:rFonts w:cstheme="minorHAnsi"/>
          <w:color w:val="000000" w:themeColor="text1"/>
          <w:sz w:val="24"/>
          <w:szCs w:val="24"/>
        </w:rPr>
      </w:pPr>
      <w:r w:rsidRPr="00E06FB1">
        <w:rPr>
          <w:rFonts w:cstheme="minorHAnsi"/>
          <w:color w:val="000000" w:themeColor="text1"/>
          <w:sz w:val="24"/>
          <w:szCs w:val="24"/>
        </w:rPr>
        <w:t xml:space="preserve">des </w:t>
      </w:r>
      <w:proofErr w:type="spellStart"/>
      <w:r w:rsidRPr="00E06FB1">
        <w:rPr>
          <w:rFonts w:cstheme="minorHAnsi"/>
          <w:color w:val="000000" w:themeColor="text1"/>
          <w:sz w:val="24"/>
          <w:szCs w:val="24"/>
        </w:rPr>
        <w:t>indoliques</w:t>
      </w:r>
      <w:proofErr w:type="spellEnd"/>
      <w:r w:rsidRPr="00E06FB1">
        <w:rPr>
          <w:rFonts w:cstheme="minorHAnsi"/>
          <w:color w:val="000000" w:themeColor="text1"/>
          <w:sz w:val="24"/>
          <w:szCs w:val="24"/>
        </w:rPr>
        <w:t xml:space="preserve"> </w:t>
      </w:r>
      <w:proofErr w:type="gramStart"/>
      <w:r w:rsidRPr="00E06FB1">
        <w:rPr>
          <w:rFonts w:cstheme="minorHAnsi"/>
          <w:color w:val="000000" w:themeColor="text1"/>
          <w:sz w:val="24"/>
          <w:szCs w:val="24"/>
        </w:rPr>
        <w:t>:indométacine</w:t>
      </w:r>
      <w:proofErr w:type="gramEnd"/>
      <w:r w:rsidRPr="00E06FB1">
        <w:rPr>
          <w:rFonts w:cstheme="minorHAnsi"/>
          <w:color w:val="000000" w:themeColor="text1"/>
          <w:sz w:val="24"/>
          <w:szCs w:val="24"/>
        </w:rPr>
        <w:t>, 100 à 150 mg/j</w:t>
      </w:r>
    </w:p>
    <w:p w:rsidR="00E06FB1" w:rsidRPr="00E06FB1" w:rsidRDefault="00E06FB1" w:rsidP="00CE19DF">
      <w:pPr>
        <w:pStyle w:val="Paragraphedeliste"/>
        <w:numPr>
          <w:ilvl w:val="0"/>
          <w:numId w:val="35"/>
        </w:numPr>
        <w:jc w:val="both"/>
        <w:rPr>
          <w:rFonts w:cstheme="minorHAnsi"/>
          <w:color w:val="000000" w:themeColor="text1"/>
          <w:sz w:val="24"/>
          <w:szCs w:val="24"/>
        </w:rPr>
      </w:pPr>
      <w:r w:rsidRPr="00E06FB1">
        <w:rPr>
          <w:rFonts w:cstheme="minorHAnsi"/>
          <w:color w:val="000000" w:themeColor="text1"/>
          <w:sz w:val="24"/>
          <w:szCs w:val="24"/>
        </w:rPr>
        <w:t xml:space="preserve">des </w:t>
      </w:r>
      <w:proofErr w:type="spellStart"/>
      <w:r w:rsidRPr="00E06FB1">
        <w:rPr>
          <w:rFonts w:cstheme="minorHAnsi"/>
          <w:color w:val="000000" w:themeColor="text1"/>
          <w:sz w:val="24"/>
          <w:szCs w:val="24"/>
        </w:rPr>
        <w:t>arylacétiques</w:t>
      </w:r>
      <w:proofErr w:type="spellEnd"/>
      <w:r w:rsidRPr="00E06FB1">
        <w:rPr>
          <w:rFonts w:cstheme="minorHAnsi"/>
          <w:color w:val="000000" w:themeColor="text1"/>
          <w:sz w:val="24"/>
          <w:szCs w:val="24"/>
        </w:rPr>
        <w:t xml:space="preserve"> </w:t>
      </w:r>
      <w:proofErr w:type="gramStart"/>
      <w:r w:rsidRPr="00E06FB1">
        <w:rPr>
          <w:rFonts w:cstheme="minorHAnsi"/>
          <w:color w:val="000000" w:themeColor="text1"/>
          <w:sz w:val="24"/>
          <w:szCs w:val="24"/>
        </w:rPr>
        <w:t>:</w:t>
      </w:r>
      <w:proofErr w:type="spellStart"/>
      <w:r w:rsidRPr="00E06FB1">
        <w:rPr>
          <w:rFonts w:cstheme="minorHAnsi"/>
          <w:color w:val="000000" w:themeColor="text1"/>
          <w:sz w:val="24"/>
          <w:szCs w:val="24"/>
        </w:rPr>
        <w:t>diclofénac</w:t>
      </w:r>
      <w:proofErr w:type="spellEnd"/>
      <w:proofErr w:type="gramEnd"/>
      <w:r w:rsidRPr="00E06FB1">
        <w:rPr>
          <w:rFonts w:cstheme="minorHAnsi"/>
          <w:color w:val="000000" w:themeColor="text1"/>
          <w:sz w:val="24"/>
          <w:szCs w:val="24"/>
        </w:rPr>
        <w:t>, 50 à 150 mg/j</w:t>
      </w:r>
    </w:p>
    <w:p w:rsidR="00E06FB1" w:rsidRPr="00E06FB1" w:rsidRDefault="00E06FB1" w:rsidP="00CE19DF">
      <w:pPr>
        <w:pStyle w:val="Paragraphedeliste"/>
        <w:numPr>
          <w:ilvl w:val="0"/>
          <w:numId w:val="35"/>
        </w:numPr>
        <w:jc w:val="both"/>
        <w:rPr>
          <w:rFonts w:cstheme="minorHAnsi"/>
          <w:color w:val="000000" w:themeColor="text1"/>
          <w:sz w:val="24"/>
          <w:szCs w:val="24"/>
        </w:rPr>
      </w:pPr>
      <w:r w:rsidRPr="00E06FB1">
        <w:rPr>
          <w:rFonts w:cstheme="minorHAnsi"/>
          <w:color w:val="000000" w:themeColor="text1"/>
          <w:sz w:val="24"/>
          <w:szCs w:val="24"/>
        </w:rPr>
        <w:t xml:space="preserve">des </w:t>
      </w:r>
      <w:proofErr w:type="spellStart"/>
      <w:r w:rsidRPr="00E06FB1">
        <w:rPr>
          <w:rFonts w:cstheme="minorHAnsi"/>
          <w:color w:val="000000" w:themeColor="text1"/>
          <w:sz w:val="24"/>
          <w:szCs w:val="24"/>
        </w:rPr>
        <w:t>oxicams</w:t>
      </w:r>
      <w:proofErr w:type="spellEnd"/>
      <w:r w:rsidRPr="00E06FB1">
        <w:rPr>
          <w:rFonts w:cstheme="minorHAnsi"/>
          <w:color w:val="000000" w:themeColor="text1"/>
          <w:sz w:val="24"/>
          <w:szCs w:val="24"/>
        </w:rPr>
        <w:t xml:space="preserve"> </w:t>
      </w:r>
      <w:proofErr w:type="gramStart"/>
      <w:r w:rsidRPr="00E06FB1">
        <w:rPr>
          <w:rFonts w:cstheme="minorHAnsi"/>
          <w:color w:val="000000" w:themeColor="text1"/>
          <w:sz w:val="24"/>
          <w:szCs w:val="24"/>
        </w:rPr>
        <w:t>:</w:t>
      </w:r>
      <w:proofErr w:type="spellStart"/>
      <w:r w:rsidRPr="00E06FB1">
        <w:rPr>
          <w:rFonts w:cstheme="minorHAnsi"/>
          <w:color w:val="000000" w:themeColor="text1"/>
          <w:sz w:val="24"/>
          <w:szCs w:val="24"/>
        </w:rPr>
        <w:t>piroxicam</w:t>
      </w:r>
      <w:proofErr w:type="spellEnd"/>
      <w:proofErr w:type="gramEnd"/>
      <w:r w:rsidRPr="00E06FB1">
        <w:rPr>
          <w:rFonts w:cstheme="minorHAnsi"/>
          <w:color w:val="000000" w:themeColor="text1"/>
          <w:sz w:val="24"/>
          <w:szCs w:val="24"/>
        </w:rPr>
        <w:t>, 10 à 20 mg/j</w:t>
      </w:r>
    </w:p>
    <w:p w:rsidR="00E06FB1" w:rsidRPr="00E06FB1" w:rsidRDefault="00E06FB1" w:rsidP="00CE19DF">
      <w:pPr>
        <w:pStyle w:val="Paragraphedeliste"/>
        <w:numPr>
          <w:ilvl w:val="0"/>
          <w:numId w:val="35"/>
        </w:numPr>
        <w:jc w:val="both"/>
        <w:rPr>
          <w:rFonts w:cstheme="minorHAnsi"/>
          <w:color w:val="000000" w:themeColor="text1"/>
          <w:sz w:val="24"/>
          <w:szCs w:val="24"/>
        </w:rPr>
      </w:pPr>
      <w:r w:rsidRPr="00E06FB1">
        <w:rPr>
          <w:rFonts w:cstheme="minorHAnsi"/>
          <w:color w:val="000000" w:themeColor="text1"/>
          <w:sz w:val="24"/>
          <w:szCs w:val="24"/>
        </w:rPr>
        <w:t xml:space="preserve">Les </w:t>
      </w:r>
      <w:proofErr w:type="spellStart"/>
      <w:r w:rsidRPr="00E06FB1">
        <w:rPr>
          <w:rFonts w:cstheme="minorHAnsi"/>
          <w:color w:val="000000" w:themeColor="text1"/>
          <w:sz w:val="24"/>
          <w:szCs w:val="24"/>
        </w:rPr>
        <w:t>coxibs</w:t>
      </w:r>
      <w:proofErr w:type="spellEnd"/>
      <w:r w:rsidRPr="00E06FB1">
        <w:rPr>
          <w:rFonts w:cstheme="minorHAnsi"/>
          <w:color w:val="000000" w:themeColor="text1"/>
          <w:sz w:val="24"/>
          <w:szCs w:val="24"/>
        </w:rPr>
        <w:t xml:space="preserve"> : </w:t>
      </w:r>
      <w:proofErr w:type="spellStart"/>
      <w:r w:rsidRPr="00E06FB1">
        <w:rPr>
          <w:rFonts w:cstheme="minorHAnsi"/>
          <w:color w:val="000000" w:themeColor="text1"/>
          <w:sz w:val="24"/>
          <w:szCs w:val="24"/>
        </w:rPr>
        <w:t>Celebrex</w:t>
      </w:r>
      <w:proofErr w:type="spellEnd"/>
      <w:r w:rsidRPr="00E06FB1">
        <w:rPr>
          <w:rFonts w:cstheme="minorHAnsi"/>
          <w:color w:val="000000" w:themeColor="text1"/>
          <w:sz w:val="24"/>
          <w:szCs w:val="24"/>
        </w:rPr>
        <w:t xml:space="preserve">  100 à200 mg/j </w:t>
      </w:r>
    </w:p>
    <w:p w:rsidR="00E06FB1" w:rsidRDefault="00E06FB1" w:rsidP="00E06FB1">
      <w:pPr>
        <w:jc w:val="both"/>
        <w:rPr>
          <w:rFonts w:cstheme="minorHAnsi"/>
          <w:color w:val="000000" w:themeColor="text1"/>
          <w:sz w:val="24"/>
          <w:szCs w:val="24"/>
        </w:rPr>
      </w:pPr>
      <w:r w:rsidRPr="00E06FB1">
        <w:rPr>
          <w:rFonts w:cstheme="minorHAnsi"/>
          <w:color w:val="000000" w:themeColor="text1"/>
          <w:sz w:val="24"/>
          <w:szCs w:val="24"/>
        </w:rPr>
        <w:t>On utili</w:t>
      </w:r>
      <w:r>
        <w:rPr>
          <w:rFonts w:cstheme="minorHAnsi"/>
          <w:color w:val="000000" w:themeColor="text1"/>
          <w:sz w:val="24"/>
          <w:szCs w:val="24"/>
        </w:rPr>
        <w:t xml:space="preserve">se volontiers des formes retard, </w:t>
      </w:r>
      <w:r w:rsidRPr="00E06FB1">
        <w:rPr>
          <w:rFonts w:cstheme="minorHAnsi"/>
          <w:color w:val="000000" w:themeColor="text1"/>
          <w:sz w:val="24"/>
          <w:szCs w:val="24"/>
        </w:rPr>
        <w:t>les formes injectables prescrites en cures courtes sont peu utiles.</w:t>
      </w:r>
    </w:p>
    <w:p w:rsidR="00E06FB1" w:rsidRDefault="00E06FB1" w:rsidP="00E06FB1">
      <w:pPr>
        <w:jc w:val="both"/>
        <w:rPr>
          <w:rFonts w:cstheme="minorHAnsi"/>
          <w:b/>
          <w:color w:val="000000" w:themeColor="text1"/>
          <w:sz w:val="24"/>
          <w:szCs w:val="24"/>
        </w:rPr>
      </w:pPr>
      <w:r w:rsidRPr="00E06FB1">
        <w:rPr>
          <w:rFonts w:cstheme="minorHAnsi"/>
          <w:b/>
          <w:color w:val="000000" w:themeColor="text1"/>
          <w:sz w:val="24"/>
          <w:szCs w:val="24"/>
        </w:rPr>
        <w:t xml:space="preserve">Effets indésirables :   </w:t>
      </w:r>
    </w:p>
    <w:p w:rsidR="00E06FB1" w:rsidRPr="00E06FB1" w:rsidRDefault="00E06FB1" w:rsidP="00E06FB1">
      <w:pPr>
        <w:spacing w:after="0"/>
        <w:jc w:val="both"/>
        <w:rPr>
          <w:rFonts w:cstheme="minorHAnsi"/>
          <w:color w:val="000000" w:themeColor="text1"/>
          <w:sz w:val="24"/>
          <w:szCs w:val="24"/>
        </w:rPr>
      </w:pPr>
      <w:r w:rsidRPr="00E06FB1">
        <w:rPr>
          <w:rFonts w:cstheme="minorHAnsi"/>
          <w:color w:val="000000" w:themeColor="text1"/>
          <w:sz w:val="24"/>
          <w:szCs w:val="24"/>
        </w:rPr>
        <w:t>- Gastro-intestinales (ulcère gastroduodénal, hémorragies, perforations)</w:t>
      </w:r>
    </w:p>
    <w:p w:rsidR="00E06FB1" w:rsidRPr="00E06FB1" w:rsidRDefault="00E06FB1" w:rsidP="00E06FB1">
      <w:pPr>
        <w:spacing w:after="0"/>
        <w:jc w:val="both"/>
        <w:rPr>
          <w:rFonts w:cstheme="minorHAnsi"/>
          <w:color w:val="000000" w:themeColor="text1"/>
          <w:sz w:val="24"/>
          <w:szCs w:val="24"/>
        </w:rPr>
      </w:pPr>
      <w:r w:rsidRPr="00E06FB1">
        <w:rPr>
          <w:rFonts w:cstheme="minorHAnsi"/>
          <w:color w:val="000000" w:themeColor="text1"/>
          <w:sz w:val="24"/>
          <w:szCs w:val="24"/>
        </w:rPr>
        <w:t xml:space="preserve">- Rénales : rétention </w:t>
      </w:r>
      <w:proofErr w:type="spellStart"/>
      <w:r w:rsidRPr="00E06FB1">
        <w:rPr>
          <w:rFonts w:cstheme="minorHAnsi"/>
          <w:color w:val="000000" w:themeColor="text1"/>
          <w:sz w:val="24"/>
          <w:szCs w:val="24"/>
        </w:rPr>
        <w:t>hydrosodée</w:t>
      </w:r>
      <w:proofErr w:type="spellEnd"/>
      <w:r w:rsidRPr="00E06FB1">
        <w:rPr>
          <w:rFonts w:cstheme="minorHAnsi"/>
          <w:color w:val="000000" w:themeColor="text1"/>
          <w:sz w:val="24"/>
          <w:szCs w:val="24"/>
        </w:rPr>
        <w:t xml:space="preserve">, insuffisance rénale </w:t>
      </w:r>
      <w:proofErr w:type="gramStart"/>
      <w:r w:rsidRPr="00E06FB1">
        <w:rPr>
          <w:rFonts w:cstheme="minorHAnsi"/>
          <w:color w:val="000000" w:themeColor="text1"/>
          <w:sz w:val="24"/>
          <w:szCs w:val="24"/>
        </w:rPr>
        <w:t>aiguë .</w:t>
      </w:r>
      <w:proofErr w:type="gramEnd"/>
      <w:r w:rsidRPr="00E06FB1">
        <w:rPr>
          <w:rFonts w:cstheme="minorHAnsi"/>
          <w:color w:val="000000" w:themeColor="text1"/>
          <w:sz w:val="24"/>
          <w:szCs w:val="24"/>
        </w:rPr>
        <w:t xml:space="preserve"> </w:t>
      </w:r>
    </w:p>
    <w:p w:rsidR="00E06FB1" w:rsidRPr="00E06FB1" w:rsidRDefault="00E06FB1" w:rsidP="00E06FB1">
      <w:pPr>
        <w:spacing w:after="0"/>
        <w:jc w:val="both"/>
        <w:rPr>
          <w:rFonts w:cstheme="minorHAnsi"/>
          <w:color w:val="000000" w:themeColor="text1"/>
          <w:sz w:val="24"/>
          <w:szCs w:val="24"/>
        </w:rPr>
      </w:pPr>
      <w:r w:rsidRPr="00E06FB1">
        <w:rPr>
          <w:rFonts w:cstheme="minorHAnsi"/>
          <w:color w:val="000000" w:themeColor="text1"/>
          <w:sz w:val="24"/>
          <w:szCs w:val="24"/>
        </w:rPr>
        <w:t xml:space="preserve">- L’augmentation de la pression artérielle est également classique. </w:t>
      </w:r>
    </w:p>
    <w:p w:rsidR="00E06FB1" w:rsidRPr="00E06FB1" w:rsidRDefault="00E06FB1" w:rsidP="00E06FB1">
      <w:pPr>
        <w:spacing w:after="0"/>
        <w:jc w:val="both"/>
        <w:rPr>
          <w:rFonts w:cstheme="minorHAnsi"/>
          <w:color w:val="000000" w:themeColor="text1"/>
          <w:sz w:val="24"/>
          <w:szCs w:val="24"/>
        </w:rPr>
      </w:pPr>
      <w:r w:rsidRPr="00E06FB1">
        <w:rPr>
          <w:rFonts w:cstheme="minorHAnsi"/>
          <w:color w:val="000000" w:themeColor="text1"/>
          <w:sz w:val="24"/>
          <w:szCs w:val="24"/>
        </w:rPr>
        <w:t xml:space="preserve">- Les AINS  peuvent également induire des effets indésirables variables selon le produit utilisé tels que : éruptions cutanées,  </w:t>
      </w:r>
    </w:p>
    <w:p w:rsidR="00E06FB1" w:rsidRPr="00E06FB1" w:rsidRDefault="00E06FB1" w:rsidP="00E06FB1">
      <w:pPr>
        <w:spacing w:after="0"/>
        <w:jc w:val="both"/>
        <w:rPr>
          <w:rFonts w:cstheme="minorHAnsi"/>
          <w:color w:val="000000" w:themeColor="text1"/>
          <w:sz w:val="24"/>
          <w:szCs w:val="24"/>
        </w:rPr>
      </w:pPr>
      <w:r w:rsidRPr="00E06FB1">
        <w:rPr>
          <w:rFonts w:cstheme="minorHAnsi"/>
          <w:color w:val="000000" w:themeColor="text1"/>
          <w:sz w:val="24"/>
          <w:szCs w:val="24"/>
        </w:rPr>
        <w:t xml:space="preserve">- Troubles neurologiques à type de somnolence, de vertiges ou de céphalées (indométacine) </w:t>
      </w:r>
    </w:p>
    <w:p w:rsidR="00E06FB1" w:rsidRDefault="00E06FB1" w:rsidP="00E06FB1">
      <w:pPr>
        <w:spacing w:after="0"/>
        <w:jc w:val="both"/>
        <w:rPr>
          <w:rFonts w:cstheme="minorHAnsi"/>
          <w:b/>
          <w:color w:val="000000" w:themeColor="text1"/>
          <w:sz w:val="24"/>
          <w:szCs w:val="24"/>
        </w:rPr>
      </w:pPr>
      <w:r w:rsidRPr="00E06FB1">
        <w:rPr>
          <w:rFonts w:cstheme="minorHAnsi"/>
          <w:color w:val="000000" w:themeColor="text1"/>
          <w:sz w:val="24"/>
          <w:szCs w:val="24"/>
        </w:rPr>
        <w:t>- Troubles hépatiques</w:t>
      </w:r>
      <w:r>
        <w:rPr>
          <w:rFonts w:cstheme="minorHAnsi"/>
          <w:color w:val="000000" w:themeColor="text1"/>
          <w:sz w:val="24"/>
          <w:szCs w:val="24"/>
        </w:rPr>
        <w:t xml:space="preserve"> </w:t>
      </w:r>
      <w:r w:rsidRPr="00E06FB1">
        <w:rPr>
          <w:rFonts w:cstheme="minorHAnsi"/>
          <w:color w:val="000000" w:themeColor="text1"/>
          <w:sz w:val="24"/>
          <w:szCs w:val="24"/>
        </w:rPr>
        <w:t>(</w:t>
      </w:r>
      <w:proofErr w:type="spellStart"/>
      <w:r w:rsidRPr="00E06FB1">
        <w:rPr>
          <w:rFonts w:cstheme="minorHAnsi"/>
          <w:color w:val="000000" w:themeColor="text1"/>
          <w:sz w:val="24"/>
          <w:szCs w:val="24"/>
        </w:rPr>
        <w:t>diclofénac</w:t>
      </w:r>
      <w:proofErr w:type="spellEnd"/>
      <w:r w:rsidRPr="00E06FB1">
        <w:rPr>
          <w:rFonts w:cstheme="minorHAnsi"/>
          <w:color w:val="000000" w:themeColor="text1"/>
          <w:sz w:val="24"/>
          <w:szCs w:val="24"/>
        </w:rPr>
        <w:t>).</w:t>
      </w:r>
      <w:r w:rsidRPr="00E06FB1">
        <w:rPr>
          <w:rFonts w:cstheme="minorHAnsi"/>
          <w:b/>
          <w:color w:val="000000" w:themeColor="text1"/>
          <w:sz w:val="24"/>
          <w:szCs w:val="24"/>
        </w:rPr>
        <w:t> </w:t>
      </w:r>
    </w:p>
    <w:p w:rsidR="00E06FB1" w:rsidRPr="00E06FB1" w:rsidRDefault="00E06FB1" w:rsidP="00E06FB1">
      <w:pPr>
        <w:spacing w:after="0"/>
        <w:jc w:val="both"/>
        <w:rPr>
          <w:rFonts w:cstheme="minorHAnsi"/>
          <w:b/>
          <w:color w:val="000000" w:themeColor="text1"/>
          <w:sz w:val="24"/>
          <w:szCs w:val="24"/>
        </w:rPr>
      </w:pPr>
    </w:p>
    <w:p w:rsidR="00490FA7" w:rsidRPr="0023063D" w:rsidRDefault="00490FA7" w:rsidP="00490FA7">
      <w:pPr>
        <w:rPr>
          <w:rFonts w:cstheme="minorHAnsi"/>
          <w:b/>
          <w:color w:val="000000" w:themeColor="text1"/>
          <w:sz w:val="28"/>
          <w:szCs w:val="24"/>
        </w:rPr>
      </w:pPr>
      <w:r w:rsidRPr="0023063D">
        <w:rPr>
          <w:rFonts w:cstheme="minorHAnsi"/>
          <w:b/>
          <w:bCs/>
          <w:color w:val="000000" w:themeColor="text1"/>
          <w:sz w:val="28"/>
          <w:szCs w:val="24"/>
        </w:rPr>
        <w:t>c-</w:t>
      </w:r>
      <w:r w:rsidRPr="0023063D">
        <w:rPr>
          <w:rFonts w:cstheme="minorHAnsi"/>
          <w:b/>
          <w:color w:val="000000" w:themeColor="text1"/>
          <w:sz w:val="28"/>
          <w:szCs w:val="24"/>
        </w:rPr>
        <w:t xml:space="preserve"> Les glucocorticoïdes :</w:t>
      </w:r>
    </w:p>
    <w:p w:rsidR="0023063D" w:rsidRDefault="00263A60" w:rsidP="00495B65">
      <w:pPr>
        <w:spacing w:after="0"/>
        <w:jc w:val="both"/>
        <w:rPr>
          <w:rFonts w:cstheme="minorHAnsi"/>
          <w:color w:val="000000" w:themeColor="text1"/>
          <w:sz w:val="24"/>
          <w:szCs w:val="24"/>
        </w:rPr>
      </w:pPr>
      <w:r>
        <w:rPr>
          <w:rFonts w:cstheme="minorHAnsi"/>
          <w:color w:val="000000" w:themeColor="text1"/>
          <w:sz w:val="24"/>
          <w:szCs w:val="24"/>
        </w:rPr>
        <w:t xml:space="preserve">La </w:t>
      </w:r>
      <w:r w:rsidR="00490FA7" w:rsidRPr="0023063D">
        <w:rPr>
          <w:rFonts w:cstheme="minorHAnsi"/>
          <w:color w:val="000000" w:themeColor="text1"/>
          <w:sz w:val="24"/>
          <w:szCs w:val="24"/>
        </w:rPr>
        <w:t xml:space="preserve">corticothérapie </w:t>
      </w:r>
      <w:r>
        <w:rPr>
          <w:rFonts w:cstheme="minorHAnsi"/>
          <w:color w:val="000000" w:themeColor="text1"/>
          <w:sz w:val="24"/>
          <w:szCs w:val="24"/>
        </w:rPr>
        <w:t xml:space="preserve"> à faible dose </w:t>
      </w:r>
      <w:r w:rsidR="00490FA7" w:rsidRPr="0023063D">
        <w:rPr>
          <w:rFonts w:cstheme="minorHAnsi"/>
          <w:color w:val="000000" w:themeColor="text1"/>
          <w:sz w:val="24"/>
          <w:szCs w:val="24"/>
        </w:rPr>
        <w:t>prolongée pourrait freiner la destruction ostéo-cartilagineuse.</w:t>
      </w:r>
    </w:p>
    <w:p w:rsidR="0023063D" w:rsidRDefault="00490FA7" w:rsidP="00495B65">
      <w:pPr>
        <w:spacing w:after="0"/>
        <w:jc w:val="both"/>
        <w:rPr>
          <w:rFonts w:cstheme="minorHAnsi"/>
          <w:color w:val="000000" w:themeColor="text1"/>
          <w:sz w:val="24"/>
          <w:szCs w:val="24"/>
        </w:rPr>
      </w:pPr>
      <w:r w:rsidRPr="00506FDA">
        <w:rPr>
          <w:rFonts w:cstheme="minorHAnsi"/>
          <w:color w:val="000000" w:themeColor="text1"/>
          <w:sz w:val="24"/>
          <w:szCs w:val="24"/>
        </w:rPr>
        <w:t>La corticothérapie orale repose sur les dérivé</w:t>
      </w:r>
      <w:r w:rsidR="006A27D6">
        <w:rPr>
          <w:rFonts w:cstheme="minorHAnsi"/>
          <w:color w:val="000000" w:themeColor="text1"/>
          <w:sz w:val="24"/>
          <w:szCs w:val="24"/>
        </w:rPr>
        <w:t xml:space="preserve">s de la </w:t>
      </w:r>
      <w:proofErr w:type="spellStart"/>
      <w:r w:rsidR="006A27D6">
        <w:rPr>
          <w:rFonts w:cstheme="minorHAnsi"/>
          <w:color w:val="000000" w:themeColor="text1"/>
          <w:sz w:val="24"/>
          <w:szCs w:val="24"/>
        </w:rPr>
        <w:t>pré</w:t>
      </w:r>
      <w:r w:rsidRPr="00506FDA">
        <w:rPr>
          <w:rFonts w:cstheme="minorHAnsi"/>
          <w:color w:val="000000" w:themeColor="text1"/>
          <w:sz w:val="24"/>
          <w:szCs w:val="24"/>
        </w:rPr>
        <w:t>dnisone</w:t>
      </w:r>
      <w:proofErr w:type="spellEnd"/>
      <w:r w:rsidRPr="00506FDA">
        <w:rPr>
          <w:rFonts w:cstheme="minorHAnsi"/>
          <w:color w:val="000000" w:themeColor="text1"/>
          <w:sz w:val="24"/>
          <w:szCs w:val="24"/>
        </w:rPr>
        <w:t xml:space="preserve"> et de la </w:t>
      </w:r>
      <w:proofErr w:type="spellStart"/>
      <w:r w:rsidRPr="00506FDA">
        <w:rPr>
          <w:rFonts w:cstheme="minorHAnsi"/>
          <w:color w:val="000000" w:themeColor="text1"/>
          <w:sz w:val="24"/>
          <w:szCs w:val="24"/>
        </w:rPr>
        <w:t>prednisolone</w:t>
      </w:r>
      <w:proofErr w:type="spellEnd"/>
      <w:r w:rsidRPr="00506FDA">
        <w:rPr>
          <w:rFonts w:cstheme="minorHAnsi"/>
          <w:color w:val="000000" w:themeColor="text1"/>
          <w:sz w:val="24"/>
          <w:szCs w:val="24"/>
        </w:rPr>
        <w:t>.</w:t>
      </w:r>
    </w:p>
    <w:p w:rsidR="0023063D" w:rsidRDefault="00490FA7" w:rsidP="00495B65">
      <w:pPr>
        <w:spacing w:after="0"/>
        <w:jc w:val="both"/>
        <w:rPr>
          <w:rFonts w:cstheme="minorHAnsi"/>
          <w:color w:val="000000" w:themeColor="text1"/>
          <w:sz w:val="24"/>
          <w:szCs w:val="24"/>
        </w:rPr>
      </w:pPr>
      <w:r w:rsidRPr="00506FDA">
        <w:rPr>
          <w:rFonts w:cstheme="minorHAnsi"/>
          <w:color w:val="000000" w:themeColor="text1"/>
          <w:sz w:val="24"/>
          <w:szCs w:val="24"/>
        </w:rPr>
        <w:lastRenderedPageBreak/>
        <w:t>La posologie qui est préconisée se situe généralement et initialement de l’ordre de 10 à 15 mg</w:t>
      </w:r>
      <w:r w:rsidR="008E6DBE">
        <w:rPr>
          <w:rFonts w:cstheme="minorHAnsi"/>
          <w:color w:val="000000" w:themeColor="text1"/>
          <w:sz w:val="24"/>
          <w:szCs w:val="24"/>
        </w:rPr>
        <w:t xml:space="preserve"> (0.15 mg/kg/j)</w:t>
      </w:r>
      <w:r w:rsidRPr="008E6DBE">
        <w:rPr>
          <w:rFonts w:cstheme="minorHAnsi"/>
          <w:color w:val="000000" w:themeColor="text1"/>
          <w:sz w:val="24"/>
          <w:szCs w:val="24"/>
        </w:rPr>
        <w:t xml:space="preserve"> d’équivalent </w:t>
      </w:r>
      <w:proofErr w:type="spellStart"/>
      <w:r w:rsidRPr="008E6DBE">
        <w:rPr>
          <w:rFonts w:cstheme="minorHAnsi"/>
          <w:color w:val="000000" w:themeColor="text1"/>
          <w:sz w:val="24"/>
          <w:szCs w:val="24"/>
        </w:rPr>
        <w:t>prednisone</w:t>
      </w:r>
      <w:proofErr w:type="spellEnd"/>
      <w:r w:rsidRPr="008E6DBE">
        <w:rPr>
          <w:rFonts w:cstheme="minorHAnsi"/>
          <w:color w:val="000000" w:themeColor="text1"/>
          <w:sz w:val="24"/>
          <w:szCs w:val="24"/>
        </w:rPr>
        <w:t xml:space="preserve"> par jour, cette dose étant progressivement réduite jusqu’à </w:t>
      </w:r>
      <w:r w:rsidR="00B83C14">
        <w:rPr>
          <w:rFonts w:cstheme="minorHAnsi"/>
          <w:color w:val="000000" w:themeColor="text1"/>
          <w:sz w:val="24"/>
          <w:szCs w:val="24"/>
        </w:rPr>
        <w:t xml:space="preserve">l’arrêt ou </w:t>
      </w:r>
      <w:r w:rsidRPr="008E6DBE">
        <w:rPr>
          <w:rFonts w:cstheme="minorHAnsi"/>
          <w:color w:val="000000" w:themeColor="text1"/>
          <w:sz w:val="24"/>
          <w:szCs w:val="24"/>
        </w:rPr>
        <w:t>obtention de</w:t>
      </w:r>
      <w:r w:rsidR="008E6DBE">
        <w:rPr>
          <w:rFonts w:cstheme="minorHAnsi"/>
          <w:color w:val="000000" w:themeColor="text1"/>
          <w:sz w:val="24"/>
          <w:szCs w:val="24"/>
        </w:rPr>
        <w:t xml:space="preserve"> la dose dite minimale efficace et 6 mois de traitement avec mesure associées.</w:t>
      </w:r>
    </w:p>
    <w:p w:rsidR="00B83C14" w:rsidRDefault="00490FA7" w:rsidP="0023063D">
      <w:pPr>
        <w:jc w:val="both"/>
        <w:rPr>
          <w:rFonts w:cstheme="minorHAnsi"/>
          <w:color w:val="000000" w:themeColor="text1"/>
          <w:sz w:val="24"/>
          <w:szCs w:val="24"/>
        </w:rPr>
      </w:pPr>
      <w:r w:rsidRPr="008E6DBE">
        <w:rPr>
          <w:rFonts w:cstheme="minorHAnsi"/>
          <w:color w:val="000000" w:themeColor="text1"/>
          <w:sz w:val="24"/>
          <w:szCs w:val="24"/>
        </w:rPr>
        <w:t xml:space="preserve">Cette corticothérapie  même à faible dose nécessite un régime hyposodé et, si elle est prolongée et supérieure à 7,5 mg/jour de </w:t>
      </w:r>
      <w:proofErr w:type="spellStart"/>
      <w:r w:rsidRPr="008E6DBE">
        <w:rPr>
          <w:rFonts w:cstheme="minorHAnsi"/>
          <w:color w:val="000000" w:themeColor="text1"/>
          <w:sz w:val="24"/>
          <w:szCs w:val="24"/>
        </w:rPr>
        <w:t>prednisone</w:t>
      </w:r>
      <w:proofErr w:type="spellEnd"/>
      <w:r w:rsidRPr="008E6DBE">
        <w:rPr>
          <w:rFonts w:cstheme="minorHAnsi"/>
          <w:color w:val="000000" w:themeColor="text1"/>
          <w:sz w:val="24"/>
          <w:szCs w:val="24"/>
        </w:rPr>
        <w:t xml:space="preserve">, une prévention de l'ostéoporose cortico-induite après  </w:t>
      </w:r>
      <w:proofErr w:type="spellStart"/>
      <w:r w:rsidR="00263A60">
        <w:rPr>
          <w:rFonts w:cstheme="minorHAnsi"/>
          <w:color w:val="000000" w:themeColor="text1"/>
          <w:sz w:val="24"/>
          <w:szCs w:val="24"/>
        </w:rPr>
        <w:t>d</w:t>
      </w:r>
      <w:r w:rsidR="00263A60" w:rsidRPr="008E6DBE">
        <w:rPr>
          <w:rFonts w:cstheme="minorHAnsi"/>
          <w:color w:val="000000" w:themeColor="text1"/>
          <w:sz w:val="24"/>
          <w:szCs w:val="24"/>
        </w:rPr>
        <w:t>ensitomètr</w:t>
      </w:r>
      <w:r w:rsidR="00263A60">
        <w:rPr>
          <w:rFonts w:cstheme="minorHAnsi"/>
          <w:color w:val="000000" w:themeColor="text1"/>
          <w:sz w:val="24"/>
          <w:szCs w:val="24"/>
        </w:rPr>
        <w:t>i</w:t>
      </w:r>
      <w:r w:rsidR="00263A60" w:rsidRPr="008E6DBE">
        <w:rPr>
          <w:rFonts w:cstheme="minorHAnsi"/>
          <w:color w:val="000000" w:themeColor="text1"/>
          <w:sz w:val="24"/>
          <w:szCs w:val="24"/>
        </w:rPr>
        <w:t>e</w:t>
      </w:r>
      <w:proofErr w:type="spellEnd"/>
      <w:r w:rsidRPr="008E6DBE">
        <w:rPr>
          <w:rFonts w:cstheme="minorHAnsi"/>
          <w:color w:val="000000" w:themeColor="text1"/>
          <w:sz w:val="24"/>
          <w:szCs w:val="24"/>
        </w:rPr>
        <w:t xml:space="preserve"> osseuse par un </w:t>
      </w:r>
      <w:proofErr w:type="spellStart"/>
      <w:r w:rsidRPr="008E6DBE">
        <w:rPr>
          <w:rFonts w:cstheme="minorHAnsi"/>
          <w:color w:val="000000" w:themeColor="text1"/>
          <w:sz w:val="24"/>
          <w:szCs w:val="24"/>
        </w:rPr>
        <w:t>bisphosphonate</w:t>
      </w:r>
      <w:proofErr w:type="spellEnd"/>
      <w:r w:rsidRPr="008E6DBE">
        <w:rPr>
          <w:rFonts w:cstheme="minorHAnsi"/>
          <w:color w:val="000000" w:themeColor="text1"/>
          <w:sz w:val="24"/>
          <w:szCs w:val="24"/>
        </w:rPr>
        <w:t xml:space="preserve"> et une supplémentation </w:t>
      </w:r>
      <w:proofErr w:type="spellStart"/>
      <w:r w:rsidRPr="008E6DBE">
        <w:rPr>
          <w:rFonts w:cstheme="minorHAnsi"/>
          <w:color w:val="000000" w:themeColor="text1"/>
          <w:sz w:val="24"/>
          <w:szCs w:val="24"/>
        </w:rPr>
        <w:t>vitamino</w:t>
      </w:r>
      <w:proofErr w:type="spellEnd"/>
      <w:r w:rsidRPr="008E6DBE">
        <w:rPr>
          <w:rFonts w:cstheme="minorHAnsi"/>
          <w:color w:val="000000" w:themeColor="text1"/>
          <w:sz w:val="24"/>
          <w:szCs w:val="24"/>
        </w:rPr>
        <w:t xml:space="preserve">-calcique. </w:t>
      </w:r>
    </w:p>
    <w:p w:rsidR="00490FA7" w:rsidRDefault="00490FA7" w:rsidP="0023063D">
      <w:pPr>
        <w:jc w:val="both"/>
        <w:rPr>
          <w:rFonts w:cstheme="minorHAnsi"/>
          <w:color w:val="000000" w:themeColor="text1"/>
          <w:sz w:val="24"/>
          <w:szCs w:val="24"/>
        </w:rPr>
      </w:pPr>
      <w:r w:rsidRPr="00506FDA">
        <w:rPr>
          <w:rFonts w:cstheme="minorHAnsi"/>
          <w:color w:val="000000" w:themeColor="text1"/>
          <w:sz w:val="24"/>
          <w:szCs w:val="24"/>
        </w:rPr>
        <w:t xml:space="preserve">La corticothérapie sous forme intraveineuse à fortes doses peut être utilisée dans des cas particuliers : poussée articulaire majeure de polyarthrite, complications viscérales et notamment vascularite. On utilise alors de la </w:t>
      </w:r>
      <w:proofErr w:type="spellStart"/>
      <w:r w:rsidRPr="00506FDA">
        <w:rPr>
          <w:rFonts w:cstheme="minorHAnsi"/>
          <w:color w:val="000000" w:themeColor="text1"/>
          <w:sz w:val="24"/>
          <w:szCs w:val="24"/>
        </w:rPr>
        <w:t>méthylprednisolone</w:t>
      </w:r>
      <w:proofErr w:type="spellEnd"/>
      <w:r w:rsidRPr="00506FDA">
        <w:rPr>
          <w:rFonts w:cstheme="minorHAnsi"/>
          <w:color w:val="000000" w:themeColor="text1"/>
          <w:sz w:val="24"/>
          <w:szCs w:val="24"/>
        </w:rPr>
        <w:t xml:space="preserve"> à une posologie variant de 100 mg à  1g/jour pendant 1 à 3 jours de suite.</w:t>
      </w:r>
    </w:p>
    <w:p w:rsidR="00490FA7" w:rsidRPr="0023063D" w:rsidRDefault="00490FA7" w:rsidP="0023063D">
      <w:pPr>
        <w:jc w:val="both"/>
        <w:rPr>
          <w:rFonts w:cstheme="minorHAnsi"/>
          <w:b/>
          <w:bCs/>
          <w:color w:val="000000" w:themeColor="text1"/>
          <w:sz w:val="28"/>
          <w:szCs w:val="24"/>
        </w:rPr>
      </w:pPr>
      <w:r w:rsidRPr="0023063D">
        <w:rPr>
          <w:rFonts w:cstheme="minorHAnsi"/>
          <w:b/>
          <w:bCs/>
          <w:color w:val="000000" w:themeColor="text1"/>
          <w:sz w:val="28"/>
          <w:szCs w:val="24"/>
        </w:rPr>
        <w:t xml:space="preserve">*Traitement de fond synthétique </w:t>
      </w:r>
      <w:r w:rsidR="00873817" w:rsidRPr="0023063D">
        <w:rPr>
          <w:rFonts w:cstheme="minorHAnsi"/>
          <w:b/>
          <w:bCs/>
          <w:color w:val="000000" w:themeColor="text1"/>
          <w:sz w:val="28"/>
          <w:szCs w:val="24"/>
        </w:rPr>
        <w:t>conventionnel (</w:t>
      </w:r>
      <w:proofErr w:type="spellStart"/>
      <w:r w:rsidRPr="0023063D">
        <w:rPr>
          <w:rFonts w:cstheme="minorHAnsi"/>
          <w:b/>
          <w:bCs/>
          <w:color w:val="000000" w:themeColor="text1"/>
          <w:sz w:val="28"/>
          <w:szCs w:val="24"/>
        </w:rPr>
        <w:t>csDMARD</w:t>
      </w:r>
      <w:proofErr w:type="spellEnd"/>
      <w:r w:rsidRPr="0023063D">
        <w:rPr>
          <w:rFonts w:cstheme="minorHAnsi"/>
          <w:b/>
          <w:bCs/>
          <w:color w:val="000000" w:themeColor="text1"/>
          <w:sz w:val="28"/>
          <w:szCs w:val="24"/>
        </w:rPr>
        <w:t>) :</w:t>
      </w:r>
    </w:p>
    <w:p w:rsidR="0023063D" w:rsidRPr="004D1E41" w:rsidRDefault="0023063D" w:rsidP="0023063D">
      <w:pPr>
        <w:jc w:val="both"/>
        <w:rPr>
          <w:rFonts w:cstheme="minorHAnsi"/>
          <w:b/>
          <w:bCs/>
          <w:color w:val="000000" w:themeColor="text1"/>
          <w:sz w:val="24"/>
          <w:szCs w:val="24"/>
        </w:rPr>
      </w:pPr>
      <w:r w:rsidRPr="004D1E41">
        <w:rPr>
          <w:rFonts w:cstheme="minorHAnsi"/>
          <w:b/>
          <w:bCs/>
          <w:color w:val="000000" w:themeColor="text1"/>
          <w:sz w:val="24"/>
          <w:szCs w:val="24"/>
        </w:rPr>
        <w:t xml:space="preserve">a- Règles de prescription : </w:t>
      </w:r>
    </w:p>
    <w:p w:rsidR="004F0266" w:rsidRPr="0023063D" w:rsidRDefault="004F0266" w:rsidP="0023063D">
      <w:pPr>
        <w:jc w:val="both"/>
        <w:rPr>
          <w:rFonts w:cstheme="minorHAnsi"/>
          <w:bCs/>
          <w:color w:val="000000" w:themeColor="text1"/>
          <w:sz w:val="24"/>
          <w:szCs w:val="24"/>
        </w:rPr>
      </w:pPr>
      <w:r w:rsidRPr="00506FDA">
        <w:rPr>
          <w:rFonts w:cstheme="minorHAnsi"/>
          <w:color w:val="000000" w:themeColor="text1"/>
          <w:sz w:val="24"/>
          <w:szCs w:val="24"/>
        </w:rPr>
        <w:t xml:space="preserve">La prescription d’un traitement </w:t>
      </w:r>
      <w:proofErr w:type="spellStart"/>
      <w:r w:rsidRPr="00506FDA">
        <w:rPr>
          <w:rFonts w:cstheme="minorHAnsi"/>
          <w:color w:val="000000" w:themeColor="text1"/>
          <w:sz w:val="24"/>
          <w:szCs w:val="24"/>
        </w:rPr>
        <w:t>immun</w:t>
      </w:r>
      <w:r w:rsidR="00971F72">
        <w:rPr>
          <w:rFonts w:cstheme="minorHAnsi"/>
          <w:color w:val="000000" w:themeColor="text1"/>
          <w:sz w:val="24"/>
          <w:szCs w:val="24"/>
        </w:rPr>
        <w:t>o</w:t>
      </w:r>
      <w:r w:rsidRPr="00506FDA">
        <w:rPr>
          <w:rFonts w:cstheme="minorHAnsi"/>
          <w:color w:val="000000" w:themeColor="text1"/>
          <w:sz w:val="24"/>
          <w:szCs w:val="24"/>
        </w:rPr>
        <w:t>modulateur</w:t>
      </w:r>
      <w:proofErr w:type="spellEnd"/>
      <w:r w:rsidRPr="00506FDA">
        <w:rPr>
          <w:rFonts w:cstheme="minorHAnsi"/>
          <w:color w:val="000000" w:themeColor="text1"/>
          <w:sz w:val="24"/>
          <w:szCs w:val="24"/>
        </w:rPr>
        <w:t xml:space="preserve"> (corticoïd</w:t>
      </w:r>
      <w:r w:rsidR="0023063D">
        <w:rPr>
          <w:rFonts w:cstheme="minorHAnsi"/>
          <w:color w:val="000000" w:themeColor="text1"/>
          <w:sz w:val="24"/>
          <w:szCs w:val="24"/>
        </w:rPr>
        <w:t>es,</w:t>
      </w:r>
      <w:r w:rsidR="005C13E8">
        <w:rPr>
          <w:rFonts w:cstheme="minorHAnsi"/>
          <w:color w:val="000000" w:themeColor="text1"/>
          <w:sz w:val="24"/>
          <w:szCs w:val="24"/>
        </w:rPr>
        <w:t xml:space="preserve"> </w:t>
      </w:r>
      <w:r w:rsidR="0023063D">
        <w:rPr>
          <w:rFonts w:cstheme="minorHAnsi"/>
          <w:color w:val="000000" w:themeColor="text1"/>
          <w:sz w:val="24"/>
          <w:szCs w:val="24"/>
        </w:rPr>
        <w:t xml:space="preserve">méthotrexate, </w:t>
      </w:r>
      <w:r w:rsidRPr="00506FDA">
        <w:rPr>
          <w:rFonts w:cstheme="minorHAnsi"/>
          <w:color w:val="000000" w:themeColor="text1"/>
          <w:sz w:val="24"/>
          <w:szCs w:val="24"/>
        </w:rPr>
        <w:t>ciclosporine,...) impose, de réaliser un bilan pré thérapeutique pour</w:t>
      </w:r>
      <w:r w:rsidR="005C13E8">
        <w:rPr>
          <w:rFonts w:cstheme="minorHAnsi"/>
          <w:color w:val="000000" w:themeColor="text1"/>
          <w:sz w:val="24"/>
          <w:szCs w:val="24"/>
        </w:rPr>
        <w:t xml:space="preserve"> limiter les risques infectieux</w:t>
      </w:r>
      <w:r w:rsidRPr="00506FDA">
        <w:rPr>
          <w:rFonts w:cstheme="minorHAnsi"/>
          <w:color w:val="000000" w:themeColor="text1"/>
          <w:sz w:val="24"/>
          <w:szCs w:val="24"/>
        </w:rPr>
        <w:t>. Certaines particularités devront s’appliquer en fonction de l’immunosuppresseur choisi.</w:t>
      </w:r>
    </w:p>
    <w:p w:rsidR="004F0266" w:rsidRPr="00506FDA" w:rsidRDefault="004F0266" w:rsidP="005C13E8">
      <w:pPr>
        <w:pStyle w:val="Paragraphedeliste"/>
        <w:numPr>
          <w:ilvl w:val="0"/>
          <w:numId w:val="4"/>
        </w:numPr>
        <w:spacing w:after="0"/>
        <w:jc w:val="both"/>
        <w:rPr>
          <w:rFonts w:cstheme="minorHAnsi"/>
          <w:color w:val="000000" w:themeColor="text1"/>
          <w:sz w:val="24"/>
          <w:szCs w:val="24"/>
        </w:rPr>
      </w:pPr>
      <w:r w:rsidRPr="00506FDA">
        <w:rPr>
          <w:rFonts w:cstheme="minorHAnsi"/>
          <w:color w:val="000000" w:themeColor="text1"/>
          <w:sz w:val="24"/>
          <w:szCs w:val="24"/>
        </w:rPr>
        <w:t>L’interrogatoire, recherché :</w:t>
      </w:r>
    </w:p>
    <w:p w:rsidR="004F0266" w:rsidRPr="000642DE" w:rsidRDefault="004F0266" w:rsidP="005C13E8">
      <w:pPr>
        <w:spacing w:after="0"/>
        <w:jc w:val="both"/>
        <w:rPr>
          <w:rFonts w:cstheme="minorHAnsi"/>
          <w:color w:val="000000" w:themeColor="text1"/>
          <w:sz w:val="24"/>
          <w:szCs w:val="24"/>
        </w:rPr>
      </w:pPr>
      <w:r w:rsidRPr="000642DE">
        <w:rPr>
          <w:rFonts w:cstheme="minorHAnsi"/>
          <w:color w:val="000000" w:themeColor="text1"/>
          <w:sz w:val="24"/>
          <w:szCs w:val="24"/>
        </w:rPr>
        <w:t xml:space="preserve">Antécédents d’infections : </w:t>
      </w:r>
    </w:p>
    <w:p w:rsidR="004F0266" w:rsidRPr="00506FDA" w:rsidRDefault="004F0266" w:rsidP="005C13E8">
      <w:pPr>
        <w:spacing w:after="0"/>
        <w:ind w:left="708"/>
        <w:jc w:val="both"/>
        <w:rPr>
          <w:rFonts w:cstheme="minorHAnsi"/>
          <w:color w:val="000000" w:themeColor="text1"/>
          <w:sz w:val="24"/>
          <w:szCs w:val="24"/>
        </w:rPr>
      </w:pPr>
      <w:r w:rsidRPr="00506FDA">
        <w:rPr>
          <w:rFonts w:cstheme="minorHAnsi"/>
          <w:color w:val="000000" w:themeColor="text1"/>
          <w:sz w:val="24"/>
          <w:szCs w:val="24"/>
        </w:rPr>
        <w:t xml:space="preserve">* bactériennes (spécialement urinaires) </w:t>
      </w:r>
    </w:p>
    <w:p w:rsidR="004F0266" w:rsidRPr="00506FDA" w:rsidRDefault="004F0266" w:rsidP="005C13E8">
      <w:pPr>
        <w:spacing w:after="0"/>
        <w:ind w:left="708"/>
        <w:jc w:val="both"/>
        <w:rPr>
          <w:rFonts w:cstheme="minorHAnsi"/>
          <w:color w:val="000000" w:themeColor="text1"/>
          <w:sz w:val="24"/>
          <w:szCs w:val="24"/>
        </w:rPr>
      </w:pPr>
      <w:r w:rsidRPr="00506FDA">
        <w:rPr>
          <w:rFonts w:cstheme="minorHAnsi"/>
          <w:color w:val="000000" w:themeColor="text1"/>
          <w:sz w:val="24"/>
          <w:szCs w:val="24"/>
        </w:rPr>
        <w:t xml:space="preserve">* fongiques </w:t>
      </w:r>
    </w:p>
    <w:p w:rsidR="004F0266" w:rsidRPr="00506FDA" w:rsidRDefault="004F0266" w:rsidP="005C13E8">
      <w:pPr>
        <w:spacing w:after="0"/>
        <w:ind w:left="708"/>
        <w:jc w:val="both"/>
        <w:rPr>
          <w:rFonts w:cstheme="minorHAnsi"/>
          <w:color w:val="000000" w:themeColor="text1"/>
          <w:sz w:val="24"/>
          <w:szCs w:val="24"/>
        </w:rPr>
      </w:pPr>
      <w:r w:rsidRPr="00506FDA">
        <w:rPr>
          <w:rFonts w:cstheme="minorHAnsi"/>
          <w:color w:val="000000" w:themeColor="text1"/>
          <w:sz w:val="24"/>
          <w:szCs w:val="24"/>
        </w:rPr>
        <w:t xml:space="preserve">*virales : VHB, VHC, varicelle-zona, </w:t>
      </w:r>
      <w:proofErr w:type="spellStart"/>
      <w:r w:rsidRPr="00506FDA">
        <w:rPr>
          <w:rFonts w:cstheme="minorHAnsi"/>
          <w:color w:val="000000" w:themeColor="text1"/>
          <w:sz w:val="24"/>
          <w:szCs w:val="24"/>
        </w:rPr>
        <w:t>herpes</w:t>
      </w:r>
      <w:proofErr w:type="spellEnd"/>
      <w:r w:rsidRPr="00506FDA">
        <w:rPr>
          <w:rFonts w:cstheme="minorHAnsi"/>
          <w:color w:val="000000" w:themeColor="text1"/>
          <w:sz w:val="24"/>
          <w:szCs w:val="24"/>
        </w:rPr>
        <w:t xml:space="preserve"> simplex </w:t>
      </w:r>
    </w:p>
    <w:p w:rsidR="000642DE" w:rsidRDefault="004F0266" w:rsidP="008B6571">
      <w:pPr>
        <w:spacing w:after="0" w:line="276" w:lineRule="auto"/>
        <w:jc w:val="both"/>
        <w:rPr>
          <w:rFonts w:cstheme="minorHAnsi"/>
          <w:color w:val="000000" w:themeColor="text1"/>
          <w:sz w:val="24"/>
          <w:szCs w:val="24"/>
        </w:rPr>
      </w:pPr>
      <w:r w:rsidRPr="000642DE">
        <w:rPr>
          <w:rFonts w:cstheme="minorHAnsi"/>
          <w:color w:val="000000" w:themeColor="text1"/>
          <w:sz w:val="24"/>
          <w:szCs w:val="24"/>
        </w:rPr>
        <w:t>Séjour ou voyage en zone tropicale ou dans des régions d’infections endémiques</w:t>
      </w:r>
    </w:p>
    <w:p w:rsidR="000642DE" w:rsidRDefault="004F0266" w:rsidP="008B6571">
      <w:pPr>
        <w:spacing w:after="0" w:line="276" w:lineRule="auto"/>
        <w:jc w:val="both"/>
        <w:rPr>
          <w:rFonts w:cstheme="minorHAnsi"/>
          <w:color w:val="000000" w:themeColor="text1"/>
          <w:sz w:val="24"/>
          <w:szCs w:val="24"/>
        </w:rPr>
      </w:pPr>
      <w:r w:rsidRPr="00506FDA">
        <w:rPr>
          <w:rFonts w:cstheme="minorHAnsi"/>
          <w:color w:val="000000" w:themeColor="text1"/>
          <w:sz w:val="24"/>
          <w:szCs w:val="24"/>
        </w:rPr>
        <w:t>Antécédent de lupus</w:t>
      </w:r>
    </w:p>
    <w:p w:rsidR="000642DE" w:rsidRDefault="004F0266" w:rsidP="008B6571">
      <w:pPr>
        <w:spacing w:after="0" w:line="276" w:lineRule="auto"/>
        <w:jc w:val="both"/>
        <w:rPr>
          <w:rFonts w:cstheme="minorHAnsi"/>
          <w:color w:val="000000" w:themeColor="text1"/>
          <w:sz w:val="24"/>
          <w:szCs w:val="24"/>
        </w:rPr>
      </w:pPr>
      <w:r w:rsidRPr="00506FDA">
        <w:rPr>
          <w:rFonts w:cstheme="minorHAnsi"/>
          <w:color w:val="000000" w:themeColor="text1"/>
          <w:sz w:val="24"/>
          <w:szCs w:val="24"/>
        </w:rPr>
        <w:t>Grossesse évolutive</w:t>
      </w:r>
    </w:p>
    <w:p w:rsidR="004F0266" w:rsidRPr="00506FDA" w:rsidRDefault="004F0266" w:rsidP="008B6571">
      <w:pPr>
        <w:spacing w:after="0" w:line="276" w:lineRule="auto"/>
        <w:jc w:val="both"/>
        <w:rPr>
          <w:rFonts w:cstheme="minorHAnsi"/>
          <w:color w:val="000000" w:themeColor="text1"/>
          <w:sz w:val="24"/>
          <w:szCs w:val="24"/>
        </w:rPr>
      </w:pPr>
      <w:r w:rsidRPr="00506FDA">
        <w:rPr>
          <w:rFonts w:cstheme="minorHAnsi"/>
          <w:color w:val="000000" w:themeColor="text1"/>
          <w:sz w:val="24"/>
          <w:szCs w:val="24"/>
        </w:rPr>
        <w:t>Néoplasie récente</w:t>
      </w:r>
    </w:p>
    <w:p w:rsidR="004F0266" w:rsidRPr="00506FDA" w:rsidRDefault="004F0266" w:rsidP="008B6571">
      <w:pPr>
        <w:pStyle w:val="Paragraphedeliste"/>
        <w:numPr>
          <w:ilvl w:val="0"/>
          <w:numId w:val="4"/>
        </w:numPr>
        <w:spacing w:after="0"/>
        <w:jc w:val="both"/>
        <w:rPr>
          <w:rFonts w:cstheme="minorHAnsi"/>
          <w:color w:val="000000" w:themeColor="text1"/>
          <w:sz w:val="24"/>
          <w:szCs w:val="24"/>
        </w:rPr>
      </w:pPr>
      <w:r w:rsidRPr="00506FDA">
        <w:rPr>
          <w:rFonts w:cstheme="minorHAnsi"/>
          <w:color w:val="000000" w:themeColor="text1"/>
          <w:sz w:val="24"/>
          <w:szCs w:val="24"/>
        </w:rPr>
        <w:t>A l’examen physique :</w:t>
      </w:r>
    </w:p>
    <w:p w:rsidR="004F0266" w:rsidRPr="00506FDA" w:rsidRDefault="004F0266" w:rsidP="008B6571">
      <w:pPr>
        <w:spacing w:after="0"/>
        <w:rPr>
          <w:rFonts w:cstheme="minorHAnsi"/>
          <w:color w:val="000000" w:themeColor="text1"/>
          <w:sz w:val="24"/>
          <w:szCs w:val="24"/>
        </w:rPr>
      </w:pPr>
      <w:r w:rsidRPr="00506FDA">
        <w:rPr>
          <w:rFonts w:cstheme="minorHAnsi"/>
          <w:color w:val="000000" w:themeColor="text1"/>
          <w:sz w:val="24"/>
          <w:szCs w:val="24"/>
        </w:rPr>
        <w:t xml:space="preserve">Ne pas ignorer des signes cliniques mineurs qui peuvent avoir des conséquences chez des patients immunodéprimés : </w:t>
      </w:r>
    </w:p>
    <w:p w:rsidR="004F0266" w:rsidRPr="00506FDA" w:rsidRDefault="004F0266" w:rsidP="00E426F5">
      <w:pPr>
        <w:pStyle w:val="Paragraphedeliste"/>
        <w:numPr>
          <w:ilvl w:val="0"/>
          <w:numId w:val="5"/>
        </w:numPr>
        <w:rPr>
          <w:rFonts w:cstheme="minorHAnsi"/>
          <w:color w:val="000000" w:themeColor="text1"/>
          <w:sz w:val="24"/>
          <w:szCs w:val="24"/>
        </w:rPr>
      </w:pPr>
      <w:r w:rsidRPr="00506FDA">
        <w:rPr>
          <w:rFonts w:cstheme="minorHAnsi"/>
          <w:color w:val="000000" w:themeColor="text1"/>
          <w:sz w:val="24"/>
          <w:szCs w:val="24"/>
        </w:rPr>
        <w:t xml:space="preserve">signes locaux ou généraux d’infection (gingivite, candidose orale ou vaginale, intertrigo, …) </w:t>
      </w:r>
    </w:p>
    <w:p w:rsidR="004F0266" w:rsidRDefault="004F0266" w:rsidP="00E426F5">
      <w:pPr>
        <w:pStyle w:val="Paragraphedeliste"/>
        <w:numPr>
          <w:ilvl w:val="0"/>
          <w:numId w:val="5"/>
        </w:numPr>
        <w:rPr>
          <w:rFonts w:cstheme="minorHAnsi"/>
          <w:color w:val="000000" w:themeColor="text1"/>
          <w:sz w:val="24"/>
          <w:szCs w:val="24"/>
        </w:rPr>
      </w:pPr>
      <w:r w:rsidRPr="00506FDA">
        <w:rPr>
          <w:rFonts w:cstheme="minorHAnsi"/>
          <w:color w:val="000000" w:themeColor="text1"/>
          <w:sz w:val="24"/>
          <w:szCs w:val="24"/>
        </w:rPr>
        <w:t>foyers infectieux : dentaire, urinaire, cutané, ORL</w:t>
      </w:r>
    </w:p>
    <w:p w:rsidR="000642DE" w:rsidRPr="00506FDA" w:rsidRDefault="000642DE" w:rsidP="000642DE">
      <w:pPr>
        <w:pStyle w:val="Paragraphedeliste"/>
        <w:ind w:left="360"/>
        <w:rPr>
          <w:rFonts w:cstheme="minorHAnsi"/>
          <w:color w:val="000000" w:themeColor="text1"/>
          <w:sz w:val="24"/>
          <w:szCs w:val="24"/>
        </w:rPr>
      </w:pPr>
    </w:p>
    <w:p w:rsidR="004F0266" w:rsidRPr="00506FDA" w:rsidRDefault="00610146" w:rsidP="00E426F5">
      <w:pPr>
        <w:pStyle w:val="Paragraphedeliste"/>
        <w:numPr>
          <w:ilvl w:val="0"/>
          <w:numId w:val="4"/>
        </w:numPr>
        <w:rPr>
          <w:rFonts w:cstheme="minorHAnsi"/>
          <w:color w:val="000000" w:themeColor="text1"/>
          <w:sz w:val="24"/>
          <w:szCs w:val="24"/>
        </w:rPr>
      </w:pPr>
      <w:r>
        <w:rPr>
          <w:rFonts w:cstheme="minorHAnsi"/>
          <w:color w:val="000000" w:themeColor="text1"/>
          <w:sz w:val="24"/>
          <w:szCs w:val="24"/>
        </w:rPr>
        <w:t xml:space="preserve">Un bilan biologique : prescrit </w:t>
      </w:r>
    </w:p>
    <w:p w:rsidR="004F0266" w:rsidRPr="00506FDA" w:rsidRDefault="004F0266" w:rsidP="004F0266">
      <w:pPr>
        <w:rPr>
          <w:rFonts w:cstheme="minorHAnsi"/>
          <w:b/>
          <w:bCs/>
          <w:color w:val="000000" w:themeColor="text1"/>
          <w:sz w:val="24"/>
          <w:szCs w:val="24"/>
        </w:rPr>
      </w:pPr>
      <w:r w:rsidRPr="00506FDA">
        <w:rPr>
          <w:rFonts w:cstheme="minorHAnsi"/>
          <w:b/>
          <w:bCs/>
          <w:color w:val="000000" w:themeColor="text1"/>
          <w:sz w:val="24"/>
          <w:szCs w:val="24"/>
        </w:rPr>
        <w:t xml:space="preserve">De façon systématique : </w:t>
      </w:r>
    </w:p>
    <w:p w:rsidR="004F0266" w:rsidRPr="00506FDA" w:rsidRDefault="004F0266" w:rsidP="008B6571">
      <w:pPr>
        <w:spacing w:after="0" w:line="276" w:lineRule="auto"/>
        <w:rPr>
          <w:rFonts w:cstheme="minorHAnsi"/>
          <w:color w:val="000000" w:themeColor="text1"/>
          <w:sz w:val="24"/>
          <w:szCs w:val="24"/>
        </w:rPr>
      </w:pPr>
      <w:r w:rsidRPr="00506FDA">
        <w:rPr>
          <w:rFonts w:cstheme="minorHAnsi"/>
          <w:color w:val="000000" w:themeColor="text1"/>
          <w:sz w:val="24"/>
          <w:szCs w:val="24"/>
        </w:rPr>
        <w:t>* NFS avec numération des neutrophiles, lymphocytes et éosinophiles</w:t>
      </w:r>
    </w:p>
    <w:p w:rsidR="004F0266" w:rsidRPr="00506FDA" w:rsidRDefault="004F0266" w:rsidP="008B6571">
      <w:pPr>
        <w:spacing w:after="0" w:line="276" w:lineRule="auto"/>
        <w:rPr>
          <w:rFonts w:cstheme="minorHAnsi"/>
          <w:color w:val="000000" w:themeColor="text1"/>
          <w:sz w:val="24"/>
          <w:szCs w:val="24"/>
        </w:rPr>
      </w:pPr>
      <w:r w:rsidRPr="00506FDA">
        <w:rPr>
          <w:rFonts w:cstheme="minorHAnsi"/>
          <w:color w:val="000000" w:themeColor="text1"/>
          <w:sz w:val="24"/>
          <w:szCs w:val="24"/>
        </w:rPr>
        <w:t xml:space="preserve">* CRP, bilan hépatique, électrophorèse des protéines sériques </w:t>
      </w:r>
    </w:p>
    <w:p w:rsidR="004F0266" w:rsidRPr="00506FDA" w:rsidRDefault="004F0266" w:rsidP="008B6571">
      <w:pPr>
        <w:spacing w:after="0" w:line="276" w:lineRule="auto"/>
        <w:rPr>
          <w:rFonts w:cstheme="minorHAnsi"/>
          <w:color w:val="000000" w:themeColor="text1"/>
          <w:sz w:val="24"/>
          <w:szCs w:val="24"/>
        </w:rPr>
      </w:pPr>
      <w:r w:rsidRPr="00506FDA">
        <w:rPr>
          <w:rFonts w:cstheme="minorHAnsi"/>
          <w:color w:val="000000" w:themeColor="text1"/>
          <w:sz w:val="24"/>
          <w:szCs w:val="24"/>
        </w:rPr>
        <w:t>* Créatinine et ionogramme sanguin</w:t>
      </w:r>
    </w:p>
    <w:p w:rsidR="004F0266" w:rsidRPr="00506FDA" w:rsidRDefault="004F0266" w:rsidP="008B6571">
      <w:pPr>
        <w:spacing w:after="0" w:line="276" w:lineRule="auto"/>
        <w:rPr>
          <w:rFonts w:cstheme="minorHAnsi"/>
          <w:color w:val="000000" w:themeColor="text1"/>
          <w:sz w:val="24"/>
          <w:szCs w:val="24"/>
        </w:rPr>
      </w:pPr>
      <w:r w:rsidRPr="00506FDA">
        <w:rPr>
          <w:rFonts w:cstheme="minorHAnsi"/>
          <w:color w:val="000000" w:themeColor="text1"/>
          <w:sz w:val="24"/>
          <w:szCs w:val="24"/>
        </w:rPr>
        <w:t xml:space="preserve">*  Sérologies VZV, EBV y sérologies VHB (Ag </w:t>
      </w:r>
      <w:proofErr w:type="spellStart"/>
      <w:r w:rsidRPr="00506FDA">
        <w:rPr>
          <w:rFonts w:cstheme="minorHAnsi"/>
          <w:color w:val="000000" w:themeColor="text1"/>
          <w:sz w:val="24"/>
          <w:szCs w:val="24"/>
        </w:rPr>
        <w:t>HBs</w:t>
      </w:r>
      <w:proofErr w:type="spellEnd"/>
      <w:r w:rsidRPr="00506FDA">
        <w:rPr>
          <w:rFonts w:cstheme="minorHAnsi"/>
          <w:color w:val="000000" w:themeColor="text1"/>
          <w:sz w:val="24"/>
          <w:szCs w:val="24"/>
        </w:rPr>
        <w:t xml:space="preserve">, </w:t>
      </w:r>
      <w:proofErr w:type="spellStart"/>
      <w:r w:rsidRPr="00506FDA">
        <w:rPr>
          <w:rFonts w:cstheme="minorHAnsi"/>
          <w:color w:val="000000" w:themeColor="text1"/>
          <w:sz w:val="24"/>
          <w:szCs w:val="24"/>
        </w:rPr>
        <w:t>Ac</w:t>
      </w:r>
      <w:proofErr w:type="spellEnd"/>
      <w:r w:rsidRPr="00506FDA">
        <w:rPr>
          <w:rFonts w:cstheme="minorHAnsi"/>
          <w:color w:val="000000" w:themeColor="text1"/>
          <w:sz w:val="24"/>
          <w:szCs w:val="24"/>
        </w:rPr>
        <w:t xml:space="preserve"> </w:t>
      </w:r>
      <w:proofErr w:type="spellStart"/>
      <w:r w:rsidRPr="00506FDA">
        <w:rPr>
          <w:rFonts w:cstheme="minorHAnsi"/>
          <w:color w:val="000000" w:themeColor="text1"/>
          <w:sz w:val="24"/>
          <w:szCs w:val="24"/>
        </w:rPr>
        <w:t>HBs</w:t>
      </w:r>
      <w:proofErr w:type="spellEnd"/>
      <w:r w:rsidRPr="00506FDA">
        <w:rPr>
          <w:rFonts w:cstheme="minorHAnsi"/>
          <w:color w:val="000000" w:themeColor="text1"/>
          <w:sz w:val="24"/>
          <w:szCs w:val="24"/>
        </w:rPr>
        <w:t xml:space="preserve"> et </w:t>
      </w:r>
      <w:proofErr w:type="spellStart"/>
      <w:r w:rsidRPr="00506FDA">
        <w:rPr>
          <w:rFonts w:cstheme="minorHAnsi"/>
          <w:color w:val="000000" w:themeColor="text1"/>
          <w:sz w:val="24"/>
          <w:szCs w:val="24"/>
        </w:rPr>
        <w:t>HBc</w:t>
      </w:r>
      <w:proofErr w:type="spellEnd"/>
      <w:r w:rsidRPr="00506FDA">
        <w:rPr>
          <w:rFonts w:cstheme="minorHAnsi"/>
          <w:color w:val="000000" w:themeColor="text1"/>
          <w:sz w:val="24"/>
          <w:szCs w:val="24"/>
        </w:rPr>
        <w:t xml:space="preserve">, ADN viral si </w:t>
      </w:r>
      <w:proofErr w:type="spellStart"/>
      <w:r w:rsidRPr="00506FDA">
        <w:rPr>
          <w:rFonts w:cstheme="minorHAnsi"/>
          <w:color w:val="000000" w:themeColor="text1"/>
          <w:sz w:val="24"/>
          <w:szCs w:val="24"/>
        </w:rPr>
        <w:t>AgHBs</w:t>
      </w:r>
      <w:proofErr w:type="spellEnd"/>
      <w:r w:rsidRPr="00506FDA">
        <w:rPr>
          <w:rFonts w:cstheme="minorHAnsi"/>
          <w:color w:val="000000" w:themeColor="text1"/>
          <w:sz w:val="24"/>
          <w:szCs w:val="24"/>
        </w:rPr>
        <w:t xml:space="preserve">+), VHC et HIV </w:t>
      </w:r>
    </w:p>
    <w:p w:rsidR="004F0266" w:rsidRPr="00506FDA" w:rsidRDefault="004F0266" w:rsidP="008B6571">
      <w:pPr>
        <w:spacing w:after="0" w:line="276" w:lineRule="auto"/>
        <w:rPr>
          <w:rFonts w:cstheme="minorHAnsi"/>
          <w:color w:val="000000" w:themeColor="text1"/>
          <w:sz w:val="24"/>
          <w:szCs w:val="24"/>
        </w:rPr>
      </w:pPr>
      <w:r w:rsidRPr="00506FDA">
        <w:rPr>
          <w:rFonts w:cstheme="minorHAnsi"/>
          <w:color w:val="000000" w:themeColor="text1"/>
          <w:sz w:val="24"/>
          <w:szCs w:val="24"/>
        </w:rPr>
        <w:t>* béta-HCG, si femme</w:t>
      </w:r>
    </w:p>
    <w:p w:rsidR="004F0266" w:rsidRPr="00506FDA" w:rsidRDefault="004F0266" w:rsidP="004F0266">
      <w:pPr>
        <w:rPr>
          <w:rFonts w:cstheme="minorHAnsi"/>
          <w:b/>
          <w:bCs/>
          <w:color w:val="000000" w:themeColor="text1"/>
          <w:sz w:val="24"/>
          <w:szCs w:val="24"/>
        </w:rPr>
      </w:pPr>
      <w:r w:rsidRPr="00506FDA">
        <w:rPr>
          <w:rFonts w:cstheme="minorHAnsi"/>
          <w:b/>
          <w:bCs/>
          <w:color w:val="000000" w:themeColor="text1"/>
          <w:sz w:val="24"/>
          <w:szCs w:val="24"/>
        </w:rPr>
        <w:lastRenderedPageBreak/>
        <w:t xml:space="preserve">Cas particuliers : </w:t>
      </w:r>
    </w:p>
    <w:p w:rsidR="004F0266" w:rsidRPr="00506FDA" w:rsidRDefault="004F0266" w:rsidP="00495B65">
      <w:pPr>
        <w:spacing w:after="0" w:line="276" w:lineRule="auto"/>
        <w:rPr>
          <w:rFonts w:cstheme="minorHAnsi"/>
          <w:color w:val="000000" w:themeColor="text1"/>
          <w:sz w:val="24"/>
          <w:szCs w:val="24"/>
        </w:rPr>
      </w:pPr>
      <w:r w:rsidRPr="00506FDA">
        <w:rPr>
          <w:rFonts w:cstheme="minorHAnsi"/>
          <w:color w:val="000000" w:themeColor="text1"/>
          <w:sz w:val="24"/>
          <w:szCs w:val="24"/>
        </w:rPr>
        <w:t>AC Antinucléaires et anti-</w:t>
      </w:r>
      <w:proofErr w:type="spellStart"/>
      <w:r w:rsidR="00873817" w:rsidRPr="00506FDA">
        <w:rPr>
          <w:rFonts w:cstheme="minorHAnsi"/>
          <w:color w:val="000000" w:themeColor="text1"/>
          <w:sz w:val="24"/>
          <w:szCs w:val="24"/>
        </w:rPr>
        <w:t>DNAnatifs</w:t>
      </w:r>
      <w:proofErr w:type="spellEnd"/>
      <w:r w:rsidR="00873817" w:rsidRPr="00506FDA">
        <w:rPr>
          <w:rFonts w:cstheme="minorHAnsi"/>
          <w:color w:val="000000" w:themeColor="text1"/>
          <w:sz w:val="24"/>
          <w:szCs w:val="24"/>
        </w:rPr>
        <w:t xml:space="preserve"> (</w:t>
      </w:r>
      <w:r w:rsidRPr="00506FDA">
        <w:rPr>
          <w:rFonts w:cstheme="minorHAnsi"/>
          <w:color w:val="000000" w:themeColor="text1"/>
          <w:sz w:val="24"/>
          <w:szCs w:val="24"/>
        </w:rPr>
        <w:t>risque</w:t>
      </w:r>
      <w:r w:rsidR="00873817">
        <w:rPr>
          <w:rFonts w:cstheme="minorHAnsi"/>
          <w:color w:val="000000" w:themeColor="text1"/>
          <w:sz w:val="24"/>
          <w:szCs w:val="24"/>
        </w:rPr>
        <w:t xml:space="preserve"> </w:t>
      </w:r>
      <w:r w:rsidRPr="00506FDA">
        <w:rPr>
          <w:rFonts w:cstheme="minorHAnsi"/>
          <w:color w:val="000000" w:themeColor="text1"/>
          <w:sz w:val="24"/>
          <w:szCs w:val="24"/>
        </w:rPr>
        <w:t>de</w:t>
      </w:r>
      <w:r w:rsidR="00873817">
        <w:rPr>
          <w:rFonts w:cstheme="minorHAnsi"/>
          <w:color w:val="000000" w:themeColor="text1"/>
          <w:sz w:val="24"/>
          <w:szCs w:val="24"/>
        </w:rPr>
        <w:t xml:space="preserve"> </w:t>
      </w:r>
      <w:r w:rsidRPr="00506FDA">
        <w:rPr>
          <w:rFonts w:cstheme="minorHAnsi"/>
          <w:color w:val="000000" w:themeColor="text1"/>
          <w:sz w:val="24"/>
          <w:szCs w:val="24"/>
        </w:rPr>
        <w:t>maladie</w:t>
      </w:r>
      <w:r w:rsidR="00873817">
        <w:rPr>
          <w:rFonts w:cstheme="minorHAnsi"/>
          <w:color w:val="000000" w:themeColor="text1"/>
          <w:sz w:val="24"/>
          <w:szCs w:val="24"/>
        </w:rPr>
        <w:t xml:space="preserve"> </w:t>
      </w:r>
      <w:r w:rsidR="00873817" w:rsidRPr="00506FDA">
        <w:rPr>
          <w:rFonts w:cstheme="minorHAnsi"/>
          <w:color w:val="000000" w:themeColor="text1"/>
          <w:sz w:val="24"/>
          <w:szCs w:val="24"/>
        </w:rPr>
        <w:t>auto-immune, lupus</w:t>
      </w:r>
      <w:r w:rsidRPr="00506FDA">
        <w:rPr>
          <w:rFonts w:cstheme="minorHAnsi"/>
          <w:color w:val="000000" w:themeColor="text1"/>
          <w:sz w:val="24"/>
          <w:szCs w:val="24"/>
        </w:rPr>
        <w:t>)</w:t>
      </w:r>
    </w:p>
    <w:p w:rsidR="004F0266" w:rsidRPr="00506FDA" w:rsidRDefault="004F0266" w:rsidP="00495B65">
      <w:pPr>
        <w:spacing w:after="0" w:line="276" w:lineRule="auto"/>
        <w:rPr>
          <w:rFonts w:cstheme="minorHAnsi"/>
          <w:color w:val="000000" w:themeColor="text1"/>
          <w:sz w:val="24"/>
          <w:szCs w:val="24"/>
        </w:rPr>
      </w:pPr>
      <w:r w:rsidRPr="00506FDA">
        <w:rPr>
          <w:rFonts w:cstheme="minorHAnsi"/>
          <w:color w:val="000000" w:themeColor="text1"/>
          <w:sz w:val="24"/>
          <w:szCs w:val="24"/>
        </w:rPr>
        <w:t xml:space="preserve">Coproculture avec analyse </w:t>
      </w:r>
      <w:proofErr w:type="spellStart"/>
      <w:r w:rsidRPr="00506FDA">
        <w:rPr>
          <w:rFonts w:cstheme="minorHAnsi"/>
          <w:color w:val="000000" w:themeColor="text1"/>
          <w:sz w:val="24"/>
          <w:szCs w:val="24"/>
        </w:rPr>
        <w:t>parasitologique</w:t>
      </w:r>
      <w:proofErr w:type="spellEnd"/>
      <w:r w:rsidRPr="00506FDA">
        <w:rPr>
          <w:rFonts w:cstheme="minorHAnsi"/>
          <w:color w:val="000000" w:themeColor="text1"/>
          <w:sz w:val="24"/>
          <w:szCs w:val="24"/>
        </w:rPr>
        <w:t xml:space="preserve"> si risque d’infection parasitaire (voyage) </w:t>
      </w:r>
    </w:p>
    <w:p w:rsidR="004F0266" w:rsidRPr="00506FDA" w:rsidRDefault="004F0266" w:rsidP="00495B65">
      <w:pPr>
        <w:spacing w:after="0" w:line="276" w:lineRule="auto"/>
        <w:rPr>
          <w:rFonts w:cstheme="minorHAnsi"/>
          <w:color w:val="000000" w:themeColor="text1"/>
          <w:sz w:val="24"/>
          <w:szCs w:val="24"/>
        </w:rPr>
      </w:pPr>
      <w:r w:rsidRPr="00506FDA">
        <w:rPr>
          <w:rFonts w:cstheme="minorHAnsi"/>
          <w:color w:val="000000" w:themeColor="text1"/>
          <w:sz w:val="24"/>
          <w:szCs w:val="24"/>
        </w:rPr>
        <w:t>La Sérologie  si retour de zone endémique</w:t>
      </w:r>
    </w:p>
    <w:p w:rsidR="004F0266" w:rsidRPr="00506FDA" w:rsidRDefault="004F0266" w:rsidP="00495B65">
      <w:pPr>
        <w:spacing w:after="0" w:line="276" w:lineRule="auto"/>
        <w:rPr>
          <w:rFonts w:cstheme="minorHAnsi"/>
          <w:color w:val="000000" w:themeColor="text1"/>
          <w:sz w:val="24"/>
          <w:szCs w:val="24"/>
        </w:rPr>
      </w:pPr>
      <w:r w:rsidRPr="00506FDA">
        <w:rPr>
          <w:rFonts w:cstheme="minorHAnsi"/>
          <w:color w:val="000000" w:themeColor="text1"/>
          <w:sz w:val="24"/>
          <w:szCs w:val="24"/>
        </w:rPr>
        <w:t>ECBU si ATCD d’infection urinaire à répétition</w:t>
      </w:r>
    </w:p>
    <w:p w:rsidR="004F0266" w:rsidRPr="000642DE" w:rsidRDefault="004F0266" w:rsidP="004F0266">
      <w:pPr>
        <w:jc w:val="center"/>
        <w:rPr>
          <w:rFonts w:cstheme="minorHAnsi"/>
          <w:b/>
          <w:bCs/>
          <w:color w:val="000000" w:themeColor="text1"/>
          <w:sz w:val="28"/>
          <w:szCs w:val="24"/>
        </w:rPr>
      </w:pPr>
      <w:r w:rsidRPr="000642DE">
        <w:rPr>
          <w:rFonts w:cstheme="minorHAnsi"/>
          <w:b/>
          <w:bCs/>
          <w:color w:val="000000" w:themeColor="text1"/>
          <w:sz w:val="28"/>
          <w:szCs w:val="24"/>
        </w:rPr>
        <w:t>L’association de traitements immunosuppresseurs entre eux augmente les risques infectieux surtout en présence de corticoïde</w:t>
      </w:r>
    </w:p>
    <w:p w:rsidR="00490FA7" w:rsidRPr="00610146" w:rsidRDefault="000642DE" w:rsidP="00490FA7">
      <w:pPr>
        <w:rPr>
          <w:rFonts w:cstheme="minorHAnsi"/>
          <w:bCs/>
          <w:color w:val="000000" w:themeColor="text1"/>
          <w:sz w:val="24"/>
          <w:szCs w:val="24"/>
        </w:rPr>
      </w:pPr>
      <w:r w:rsidRPr="000642DE">
        <w:rPr>
          <w:rFonts w:cstheme="minorHAnsi"/>
          <w:b/>
          <w:bCs/>
          <w:color w:val="000000" w:themeColor="text1"/>
          <w:sz w:val="28"/>
          <w:szCs w:val="24"/>
        </w:rPr>
        <w:t xml:space="preserve">b- Méthotrexate : </w:t>
      </w:r>
      <w:r w:rsidR="00610146" w:rsidRPr="00610146">
        <w:rPr>
          <w:rFonts w:cstheme="minorHAnsi"/>
          <w:bCs/>
          <w:color w:val="000000" w:themeColor="text1"/>
          <w:sz w:val="24"/>
          <w:szCs w:val="24"/>
        </w:rPr>
        <w:t>le traitement de référence de la PR (Gold Standard).</w:t>
      </w:r>
    </w:p>
    <w:p w:rsidR="00CE3E91" w:rsidRDefault="00490FA7" w:rsidP="000642DE">
      <w:pPr>
        <w:jc w:val="both"/>
        <w:rPr>
          <w:rFonts w:cstheme="minorHAnsi"/>
          <w:color w:val="000000" w:themeColor="text1"/>
          <w:sz w:val="24"/>
          <w:szCs w:val="24"/>
        </w:rPr>
      </w:pPr>
      <w:r w:rsidRPr="00277197">
        <w:rPr>
          <w:rFonts w:cstheme="minorHAnsi"/>
          <w:sz w:val="24"/>
          <w:szCs w:val="24"/>
        </w:rPr>
        <w:t xml:space="preserve">Le méthotrexate (MTX) est un </w:t>
      </w:r>
      <w:r w:rsidR="000642DE" w:rsidRPr="00277197">
        <w:rPr>
          <w:rFonts w:cstheme="minorHAnsi"/>
          <w:sz w:val="24"/>
          <w:szCs w:val="24"/>
        </w:rPr>
        <w:t>anti métabolite</w:t>
      </w:r>
      <w:r w:rsidRPr="00277197">
        <w:rPr>
          <w:rFonts w:cstheme="minorHAnsi"/>
          <w:sz w:val="24"/>
          <w:szCs w:val="24"/>
        </w:rPr>
        <w:t xml:space="preserve">. C’est un analogue de l’acide folique qui inhibe la </w:t>
      </w:r>
      <w:proofErr w:type="spellStart"/>
      <w:r w:rsidRPr="00277197">
        <w:rPr>
          <w:rFonts w:cstheme="minorHAnsi"/>
          <w:sz w:val="24"/>
          <w:szCs w:val="24"/>
        </w:rPr>
        <w:t>dihydrofolate</w:t>
      </w:r>
      <w:proofErr w:type="spellEnd"/>
      <w:r w:rsidRPr="00277197">
        <w:rPr>
          <w:rFonts w:cstheme="minorHAnsi"/>
          <w:sz w:val="24"/>
          <w:szCs w:val="24"/>
        </w:rPr>
        <w:t xml:space="preserve"> réductase en se liant de façon réversible à cette enzyme. Son antidote est l’acide </w:t>
      </w:r>
      <w:proofErr w:type="spellStart"/>
      <w:r w:rsidRPr="00277197">
        <w:rPr>
          <w:rFonts w:cstheme="minorHAnsi"/>
          <w:sz w:val="24"/>
          <w:szCs w:val="24"/>
        </w:rPr>
        <w:t>folinique</w:t>
      </w:r>
      <w:proofErr w:type="spellEnd"/>
      <w:r w:rsidRPr="00277197">
        <w:rPr>
          <w:rFonts w:cstheme="minorHAnsi"/>
          <w:sz w:val="24"/>
          <w:szCs w:val="24"/>
        </w:rPr>
        <w:t xml:space="preserve"> (</w:t>
      </w:r>
      <w:proofErr w:type="spellStart"/>
      <w:r w:rsidRPr="00277197">
        <w:rPr>
          <w:rFonts w:cstheme="minorHAnsi"/>
          <w:sz w:val="24"/>
          <w:szCs w:val="24"/>
        </w:rPr>
        <w:t>Lederfoline</w:t>
      </w:r>
      <w:proofErr w:type="spellEnd"/>
      <w:r w:rsidRPr="00277197">
        <w:rPr>
          <w:rFonts w:cstheme="minorHAnsi"/>
          <w:sz w:val="24"/>
          <w:szCs w:val="24"/>
        </w:rPr>
        <w:t xml:space="preserve">). </w:t>
      </w:r>
      <w:r w:rsidRPr="00277197">
        <w:rPr>
          <w:rFonts w:cstheme="minorHAnsi"/>
          <w:color w:val="000000" w:themeColor="text1"/>
          <w:sz w:val="24"/>
          <w:szCs w:val="24"/>
        </w:rPr>
        <w:t>Il est anti-inflammatoire (production d’adénosine) et modifie la synthèse de certaines cytokines.</w:t>
      </w:r>
    </w:p>
    <w:p w:rsidR="00490FA7" w:rsidRPr="00277197" w:rsidRDefault="00CE3E91" w:rsidP="000642DE">
      <w:pPr>
        <w:jc w:val="both"/>
        <w:rPr>
          <w:rFonts w:cstheme="minorHAnsi"/>
          <w:sz w:val="24"/>
          <w:szCs w:val="24"/>
        </w:rPr>
      </w:pPr>
      <w:r>
        <w:rPr>
          <w:rFonts w:cstheme="minorHAnsi"/>
          <w:color w:val="000000" w:themeColor="text1"/>
          <w:sz w:val="24"/>
          <w:szCs w:val="24"/>
        </w:rPr>
        <w:t>Le taux de maintenance thérapeutique était de 76%</w:t>
      </w:r>
      <w:r w:rsidR="00490FA7" w:rsidRPr="00277197">
        <w:rPr>
          <w:rFonts w:cstheme="minorHAnsi"/>
          <w:color w:val="000000" w:themeColor="text1"/>
          <w:sz w:val="24"/>
          <w:szCs w:val="24"/>
        </w:rPr>
        <w:t xml:space="preserve"> </w:t>
      </w:r>
      <w:r>
        <w:rPr>
          <w:rFonts w:cstheme="minorHAnsi"/>
          <w:color w:val="000000" w:themeColor="text1"/>
          <w:sz w:val="24"/>
          <w:szCs w:val="24"/>
        </w:rPr>
        <w:t>à un an,</w:t>
      </w:r>
      <w:r w:rsidR="006A27D6">
        <w:rPr>
          <w:rFonts w:cstheme="minorHAnsi"/>
          <w:color w:val="000000" w:themeColor="text1"/>
          <w:sz w:val="24"/>
          <w:szCs w:val="24"/>
        </w:rPr>
        <w:t xml:space="preserve"> </w:t>
      </w:r>
      <w:r>
        <w:rPr>
          <w:rFonts w:cstheme="minorHAnsi"/>
          <w:color w:val="000000" w:themeColor="text1"/>
          <w:sz w:val="24"/>
          <w:szCs w:val="24"/>
        </w:rPr>
        <w:t>63% à 2 ans,</w:t>
      </w:r>
      <w:r w:rsidR="000642DE">
        <w:rPr>
          <w:rFonts w:cstheme="minorHAnsi"/>
          <w:color w:val="000000" w:themeColor="text1"/>
          <w:sz w:val="24"/>
          <w:szCs w:val="24"/>
        </w:rPr>
        <w:t xml:space="preserve"> </w:t>
      </w:r>
      <w:r>
        <w:rPr>
          <w:rFonts w:cstheme="minorHAnsi"/>
          <w:color w:val="000000" w:themeColor="text1"/>
          <w:sz w:val="24"/>
          <w:szCs w:val="24"/>
        </w:rPr>
        <w:t>et de 45% à 5 ans.</w:t>
      </w:r>
    </w:p>
    <w:p w:rsidR="00490FA7" w:rsidRPr="000642DE" w:rsidRDefault="00490FA7" w:rsidP="000642DE">
      <w:pPr>
        <w:jc w:val="both"/>
        <w:rPr>
          <w:rFonts w:cstheme="minorHAnsi"/>
          <w:sz w:val="24"/>
          <w:szCs w:val="24"/>
        </w:rPr>
      </w:pPr>
      <w:r w:rsidRPr="00277197">
        <w:rPr>
          <w:rFonts w:cstheme="minorHAnsi"/>
          <w:b/>
          <w:bCs/>
          <w:color w:val="FF0000"/>
          <w:sz w:val="24"/>
          <w:szCs w:val="24"/>
        </w:rPr>
        <w:t xml:space="preserve"> </w:t>
      </w:r>
      <w:r w:rsidRPr="000642DE">
        <w:rPr>
          <w:rFonts w:cstheme="minorHAnsi"/>
          <w:b/>
          <w:bCs/>
          <w:sz w:val="24"/>
          <w:szCs w:val="24"/>
        </w:rPr>
        <w:t>Forme et posologie</w:t>
      </w:r>
      <w:r w:rsidRPr="000642DE">
        <w:rPr>
          <w:rFonts w:cstheme="minorHAnsi"/>
          <w:sz w:val="24"/>
          <w:szCs w:val="24"/>
        </w:rPr>
        <w:t xml:space="preserve"> : </w:t>
      </w:r>
    </w:p>
    <w:p w:rsidR="00490FA7" w:rsidRPr="00277197" w:rsidRDefault="00490FA7" w:rsidP="000642DE">
      <w:pPr>
        <w:jc w:val="both"/>
        <w:rPr>
          <w:rFonts w:cstheme="minorHAnsi"/>
          <w:color w:val="000000" w:themeColor="text1"/>
          <w:sz w:val="24"/>
          <w:szCs w:val="24"/>
        </w:rPr>
      </w:pPr>
      <w:r w:rsidRPr="00277197">
        <w:rPr>
          <w:rFonts w:cstheme="minorHAnsi"/>
          <w:b/>
          <w:bCs/>
          <w:color w:val="000000" w:themeColor="text1"/>
          <w:sz w:val="24"/>
          <w:szCs w:val="24"/>
        </w:rPr>
        <w:t>La voie orale  en comprimé à 2,5 mg.</w:t>
      </w:r>
      <w:r w:rsidRPr="00277197">
        <w:rPr>
          <w:rFonts w:cstheme="minorHAnsi"/>
          <w:color w:val="000000" w:themeColor="text1"/>
          <w:sz w:val="24"/>
          <w:szCs w:val="24"/>
        </w:rPr>
        <w:t xml:space="preserve"> </w:t>
      </w:r>
      <w:r w:rsidR="00B83C14" w:rsidRPr="00B83C14">
        <w:rPr>
          <w:rFonts w:cstheme="minorHAnsi"/>
          <w:color w:val="000000" w:themeColor="text1"/>
          <w:sz w:val="24"/>
          <w:szCs w:val="24"/>
        </w:rPr>
        <w:t xml:space="preserve">Il existe la </w:t>
      </w:r>
      <w:r w:rsidRPr="00B83C14">
        <w:rPr>
          <w:rFonts w:cstheme="minorHAnsi"/>
          <w:bCs/>
          <w:color w:val="000000" w:themeColor="text1"/>
          <w:sz w:val="24"/>
          <w:szCs w:val="24"/>
        </w:rPr>
        <w:t xml:space="preserve">voie </w:t>
      </w:r>
      <w:r w:rsidR="00B83C14">
        <w:rPr>
          <w:rFonts w:cstheme="minorHAnsi"/>
          <w:bCs/>
          <w:color w:val="000000" w:themeColor="text1"/>
          <w:sz w:val="24"/>
          <w:szCs w:val="24"/>
        </w:rPr>
        <w:t>injectable</w:t>
      </w:r>
      <w:r w:rsidRPr="00277197">
        <w:rPr>
          <w:rFonts w:cstheme="minorHAnsi"/>
          <w:color w:val="000000" w:themeColor="text1"/>
          <w:sz w:val="24"/>
          <w:szCs w:val="24"/>
        </w:rPr>
        <w:t xml:space="preserve"> </w:t>
      </w:r>
    </w:p>
    <w:p w:rsidR="00490FA7" w:rsidRPr="00277197" w:rsidRDefault="00873817" w:rsidP="008B6571">
      <w:pPr>
        <w:spacing w:after="0"/>
        <w:jc w:val="both"/>
        <w:rPr>
          <w:rFonts w:cstheme="minorHAnsi"/>
          <w:b/>
          <w:bCs/>
          <w:color w:val="FF0000"/>
          <w:sz w:val="24"/>
          <w:szCs w:val="24"/>
        </w:rPr>
      </w:pPr>
      <w:r w:rsidRPr="00277197">
        <w:rPr>
          <w:rFonts w:cstheme="minorHAnsi"/>
          <w:b/>
          <w:bCs/>
          <w:color w:val="000000" w:themeColor="text1"/>
          <w:sz w:val="24"/>
          <w:szCs w:val="24"/>
        </w:rPr>
        <w:t>Dose</w:t>
      </w:r>
      <w:r w:rsidR="00490FA7" w:rsidRPr="00277197">
        <w:rPr>
          <w:rFonts w:cstheme="minorHAnsi"/>
          <w:b/>
          <w:bCs/>
          <w:color w:val="000000" w:themeColor="text1"/>
          <w:sz w:val="24"/>
          <w:szCs w:val="24"/>
        </w:rPr>
        <w:t xml:space="preserve"> thérapeutique : 10 à 25 mg/semaine </w:t>
      </w:r>
    </w:p>
    <w:p w:rsidR="000642DE" w:rsidRDefault="000642DE" w:rsidP="008B6571">
      <w:pPr>
        <w:spacing w:after="0"/>
        <w:jc w:val="both"/>
        <w:rPr>
          <w:rFonts w:cstheme="minorHAnsi"/>
          <w:b/>
          <w:bCs/>
          <w:sz w:val="24"/>
          <w:szCs w:val="24"/>
        </w:rPr>
      </w:pPr>
      <w:r w:rsidRPr="000642DE">
        <w:rPr>
          <w:rFonts w:cstheme="minorHAnsi"/>
          <w:b/>
          <w:bCs/>
          <w:sz w:val="24"/>
          <w:szCs w:val="24"/>
        </w:rPr>
        <w:t>Contre-indications</w:t>
      </w:r>
      <w:r w:rsidR="00490FA7" w:rsidRPr="000642DE">
        <w:rPr>
          <w:rFonts w:cstheme="minorHAnsi"/>
          <w:b/>
          <w:bCs/>
          <w:sz w:val="24"/>
          <w:szCs w:val="24"/>
        </w:rPr>
        <w:t xml:space="preserve"> :  </w:t>
      </w:r>
    </w:p>
    <w:p w:rsidR="000642DE" w:rsidRPr="00052EE7" w:rsidRDefault="00490FA7" w:rsidP="00CE19DF">
      <w:pPr>
        <w:pStyle w:val="Paragraphedeliste"/>
        <w:numPr>
          <w:ilvl w:val="0"/>
          <w:numId w:val="36"/>
        </w:numPr>
        <w:jc w:val="both"/>
        <w:rPr>
          <w:rFonts w:cstheme="minorHAnsi"/>
          <w:color w:val="000000" w:themeColor="text1"/>
          <w:sz w:val="24"/>
          <w:szCs w:val="24"/>
        </w:rPr>
      </w:pPr>
      <w:r w:rsidRPr="00052EE7">
        <w:rPr>
          <w:rFonts w:cstheme="minorHAnsi"/>
          <w:color w:val="000000" w:themeColor="text1"/>
          <w:sz w:val="24"/>
          <w:szCs w:val="24"/>
        </w:rPr>
        <w:t>Allergie connue au MTX ou à l’un des excipients du produit.</w:t>
      </w:r>
    </w:p>
    <w:p w:rsidR="000642DE" w:rsidRPr="00052EE7" w:rsidRDefault="00490FA7" w:rsidP="00CE19DF">
      <w:pPr>
        <w:pStyle w:val="Paragraphedeliste"/>
        <w:numPr>
          <w:ilvl w:val="0"/>
          <w:numId w:val="36"/>
        </w:numPr>
        <w:jc w:val="both"/>
        <w:rPr>
          <w:rFonts w:cstheme="minorHAnsi"/>
          <w:color w:val="000000" w:themeColor="text1"/>
          <w:sz w:val="24"/>
          <w:szCs w:val="24"/>
        </w:rPr>
      </w:pPr>
      <w:r w:rsidRPr="00052EE7">
        <w:rPr>
          <w:rFonts w:cstheme="minorHAnsi"/>
          <w:color w:val="000000" w:themeColor="text1"/>
          <w:sz w:val="24"/>
          <w:szCs w:val="24"/>
        </w:rPr>
        <w:t>Insuffisance rénale sévère</w:t>
      </w:r>
    </w:p>
    <w:p w:rsidR="000642DE" w:rsidRPr="00052EE7" w:rsidRDefault="00490FA7" w:rsidP="00CE19DF">
      <w:pPr>
        <w:pStyle w:val="Paragraphedeliste"/>
        <w:numPr>
          <w:ilvl w:val="0"/>
          <w:numId w:val="36"/>
        </w:numPr>
        <w:jc w:val="both"/>
        <w:rPr>
          <w:rFonts w:cstheme="minorHAnsi"/>
          <w:color w:val="000000" w:themeColor="text1"/>
          <w:sz w:val="24"/>
          <w:szCs w:val="24"/>
        </w:rPr>
      </w:pPr>
      <w:r w:rsidRPr="00052EE7">
        <w:rPr>
          <w:rFonts w:cstheme="minorHAnsi"/>
          <w:color w:val="000000" w:themeColor="text1"/>
          <w:sz w:val="24"/>
          <w:szCs w:val="24"/>
        </w:rPr>
        <w:t>Atteinte hépatique sévère</w:t>
      </w:r>
    </w:p>
    <w:p w:rsidR="000642DE" w:rsidRPr="00052EE7" w:rsidRDefault="00490FA7" w:rsidP="00CE19DF">
      <w:pPr>
        <w:pStyle w:val="Paragraphedeliste"/>
        <w:numPr>
          <w:ilvl w:val="0"/>
          <w:numId w:val="36"/>
        </w:numPr>
        <w:jc w:val="both"/>
        <w:rPr>
          <w:rFonts w:cstheme="minorHAnsi"/>
          <w:color w:val="000000" w:themeColor="text1"/>
          <w:sz w:val="24"/>
          <w:szCs w:val="24"/>
        </w:rPr>
      </w:pPr>
      <w:r w:rsidRPr="00052EE7">
        <w:rPr>
          <w:rFonts w:cstheme="minorHAnsi"/>
          <w:color w:val="000000" w:themeColor="text1"/>
          <w:sz w:val="24"/>
          <w:szCs w:val="24"/>
        </w:rPr>
        <w:t>Insuffisance respiratoire chronique</w:t>
      </w:r>
    </w:p>
    <w:p w:rsidR="00052EE7" w:rsidRDefault="00490FA7" w:rsidP="00CE19DF">
      <w:pPr>
        <w:pStyle w:val="Paragraphedeliste"/>
        <w:numPr>
          <w:ilvl w:val="0"/>
          <w:numId w:val="36"/>
        </w:numPr>
        <w:jc w:val="both"/>
        <w:rPr>
          <w:rFonts w:cstheme="minorHAnsi"/>
          <w:sz w:val="24"/>
          <w:szCs w:val="24"/>
        </w:rPr>
      </w:pPr>
      <w:r w:rsidRPr="00052EE7">
        <w:rPr>
          <w:rFonts w:cstheme="minorHAnsi"/>
          <w:sz w:val="24"/>
          <w:szCs w:val="24"/>
        </w:rPr>
        <w:t xml:space="preserve">Grossesse, allaitement, femmes et hommes en âge de procréer et ne prenant pas de contraception fiable.    </w:t>
      </w:r>
    </w:p>
    <w:p w:rsidR="00052EE7" w:rsidRDefault="00052EE7" w:rsidP="00CE19DF">
      <w:pPr>
        <w:pStyle w:val="Paragraphedeliste"/>
        <w:numPr>
          <w:ilvl w:val="0"/>
          <w:numId w:val="36"/>
        </w:numPr>
        <w:jc w:val="both"/>
        <w:rPr>
          <w:rFonts w:cstheme="minorHAnsi"/>
          <w:sz w:val="24"/>
          <w:szCs w:val="24"/>
        </w:rPr>
      </w:pPr>
      <w:proofErr w:type="spellStart"/>
      <w:r>
        <w:rPr>
          <w:rFonts w:cstheme="minorHAnsi"/>
          <w:sz w:val="24"/>
          <w:szCs w:val="24"/>
        </w:rPr>
        <w:t>Phénytoine</w:t>
      </w:r>
      <w:proofErr w:type="spellEnd"/>
      <w:r w:rsidR="00490FA7" w:rsidRPr="00052EE7">
        <w:rPr>
          <w:rFonts w:cstheme="minorHAnsi"/>
          <w:sz w:val="24"/>
          <w:szCs w:val="24"/>
        </w:rPr>
        <w:t xml:space="preserve"> </w:t>
      </w:r>
      <w:r w:rsidRPr="00052EE7">
        <w:rPr>
          <w:rFonts w:cstheme="minorHAnsi"/>
          <w:sz w:val="24"/>
          <w:szCs w:val="24"/>
        </w:rPr>
        <w:t xml:space="preserve">ou </w:t>
      </w:r>
      <w:proofErr w:type="spellStart"/>
      <w:r w:rsidRPr="00052EE7">
        <w:rPr>
          <w:rFonts w:cstheme="minorHAnsi"/>
          <w:sz w:val="24"/>
          <w:szCs w:val="24"/>
        </w:rPr>
        <w:t>fosphénytoïne</w:t>
      </w:r>
      <w:proofErr w:type="spellEnd"/>
      <w:r w:rsidRPr="00052EE7">
        <w:rPr>
          <w:rFonts w:cstheme="minorHAnsi"/>
          <w:sz w:val="24"/>
          <w:szCs w:val="24"/>
        </w:rPr>
        <w:t xml:space="preserve"> à visée prophylactique risque de convulsion, vaccin contre la fièvre jaune (vaccin vivant), salicylé si dose MTX supérieure à 15 mg. </w:t>
      </w:r>
      <w:r w:rsidR="00490FA7" w:rsidRPr="00052EE7">
        <w:rPr>
          <w:rFonts w:cstheme="minorHAnsi"/>
          <w:sz w:val="24"/>
          <w:szCs w:val="24"/>
        </w:rPr>
        <w:t xml:space="preserve"> </w:t>
      </w:r>
    </w:p>
    <w:p w:rsidR="00052EE7" w:rsidRDefault="00052EE7" w:rsidP="00CE19DF">
      <w:pPr>
        <w:pStyle w:val="Paragraphedeliste"/>
        <w:numPr>
          <w:ilvl w:val="0"/>
          <w:numId w:val="36"/>
        </w:numPr>
        <w:jc w:val="both"/>
        <w:rPr>
          <w:rFonts w:cstheme="minorHAnsi"/>
          <w:sz w:val="24"/>
          <w:szCs w:val="24"/>
        </w:rPr>
      </w:pPr>
      <w:r w:rsidRPr="00052EE7">
        <w:rPr>
          <w:rFonts w:cstheme="minorHAnsi"/>
          <w:sz w:val="24"/>
          <w:szCs w:val="24"/>
        </w:rPr>
        <w:t xml:space="preserve">Phénylbutazone. </w:t>
      </w:r>
      <w:proofErr w:type="spellStart"/>
      <w:r w:rsidRPr="00052EE7">
        <w:rPr>
          <w:rFonts w:cstheme="minorHAnsi"/>
          <w:sz w:val="24"/>
          <w:szCs w:val="24"/>
        </w:rPr>
        <w:t>Probénécide</w:t>
      </w:r>
      <w:proofErr w:type="spellEnd"/>
      <w:r w:rsidRPr="00052EE7">
        <w:rPr>
          <w:rFonts w:cstheme="minorHAnsi"/>
          <w:sz w:val="24"/>
          <w:szCs w:val="24"/>
        </w:rPr>
        <w:t xml:space="preserve">, </w:t>
      </w:r>
      <w:proofErr w:type="spellStart"/>
      <w:r w:rsidRPr="00052EE7">
        <w:rPr>
          <w:rFonts w:cstheme="minorHAnsi"/>
          <w:sz w:val="24"/>
          <w:szCs w:val="24"/>
        </w:rPr>
        <w:t>triméthoprime</w:t>
      </w:r>
      <w:proofErr w:type="spellEnd"/>
      <w:r w:rsidRPr="00052EE7">
        <w:rPr>
          <w:rFonts w:cstheme="minorHAnsi"/>
          <w:sz w:val="24"/>
          <w:szCs w:val="24"/>
        </w:rPr>
        <w:t xml:space="preserve"> (seul ou associé au </w:t>
      </w:r>
      <w:proofErr w:type="spellStart"/>
      <w:r w:rsidRPr="00052EE7">
        <w:rPr>
          <w:rFonts w:cstheme="minorHAnsi"/>
          <w:sz w:val="24"/>
          <w:szCs w:val="24"/>
        </w:rPr>
        <w:t>sulfaméthoxazole</w:t>
      </w:r>
      <w:proofErr w:type="spellEnd"/>
      <w:r w:rsidRPr="00052EE7">
        <w:rPr>
          <w:rFonts w:cstheme="minorHAnsi"/>
          <w:sz w:val="24"/>
          <w:szCs w:val="24"/>
        </w:rPr>
        <w:t xml:space="preserve">) augmentation du risque d’anomalie de la FNS.   </w:t>
      </w:r>
    </w:p>
    <w:p w:rsidR="00D70EDC" w:rsidRDefault="00052EE7" w:rsidP="00CE19DF">
      <w:pPr>
        <w:pStyle w:val="Paragraphedeliste"/>
        <w:numPr>
          <w:ilvl w:val="0"/>
          <w:numId w:val="36"/>
        </w:numPr>
        <w:jc w:val="both"/>
        <w:rPr>
          <w:rFonts w:cstheme="minorHAnsi"/>
          <w:sz w:val="24"/>
          <w:szCs w:val="24"/>
        </w:rPr>
      </w:pPr>
      <w:r w:rsidRPr="00052EE7">
        <w:rPr>
          <w:rFonts w:cstheme="minorHAnsi"/>
          <w:sz w:val="24"/>
          <w:szCs w:val="24"/>
        </w:rPr>
        <w:t xml:space="preserve">En cas d’hypersensibilité ou d’intolérance au gluten, en raison de la présence d’amidon de blé.  </w:t>
      </w:r>
    </w:p>
    <w:p w:rsidR="00D70EDC" w:rsidRDefault="00D70EDC" w:rsidP="00CE19DF">
      <w:pPr>
        <w:pStyle w:val="Paragraphedeliste"/>
        <w:numPr>
          <w:ilvl w:val="0"/>
          <w:numId w:val="36"/>
        </w:numPr>
        <w:jc w:val="both"/>
        <w:rPr>
          <w:rFonts w:cstheme="minorHAnsi"/>
          <w:sz w:val="24"/>
          <w:szCs w:val="24"/>
        </w:rPr>
      </w:pPr>
      <w:r w:rsidRPr="00052EE7">
        <w:rPr>
          <w:rFonts w:cstheme="minorHAnsi"/>
          <w:sz w:val="24"/>
          <w:szCs w:val="24"/>
        </w:rPr>
        <w:t xml:space="preserve">Hypoplasie médullaire actuelle ou passée    </w:t>
      </w:r>
    </w:p>
    <w:p w:rsidR="00D70EDC" w:rsidRDefault="00D70EDC" w:rsidP="00CE19DF">
      <w:pPr>
        <w:pStyle w:val="Paragraphedeliste"/>
        <w:numPr>
          <w:ilvl w:val="0"/>
          <w:numId w:val="36"/>
        </w:numPr>
        <w:jc w:val="both"/>
        <w:rPr>
          <w:rFonts w:cstheme="minorHAnsi"/>
          <w:sz w:val="24"/>
          <w:szCs w:val="24"/>
        </w:rPr>
      </w:pPr>
      <w:r w:rsidRPr="00052EE7">
        <w:rPr>
          <w:rFonts w:cstheme="minorHAnsi"/>
          <w:sz w:val="24"/>
          <w:szCs w:val="24"/>
        </w:rPr>
        <w:t xml:space="preserve">Infection aiguë ou chronique (VIH)  </w:t>
      </w:r>
    </w:p>
    <w:p w:rsidR="00490FA7" w:rsidRPr="00052EE7" w:rsidRDefault="00D70EDC" w:rsidP="00CE19DF">
      <w:pPr>
        <w:pStyle w:val="Paragraphedeliste"/>
        <w:numPr>
          <w:ilvl w:val="0"/>
          <w:numId w:val="36"/>
        </w:numPr>
        <w:jc w:val="both"/>
        <w:rPr>
          <w:rFonts w:cstheme="minorHAnsi"/>
          <w:sz w:val="24"/>
          <w:szCs w:val="24"/>
        </w:rPr>
      </w:pPr>
      <w:r w:rsidRPr="00052EE7">
        <w:rPr>
          <w:rFonts w:cstheme="minorHAnsi"/>
          <w:sz w:val="24"/>
          <w:szCs w:val="24"/>
        </w:rPr>
        <w:t xml:space="preserve">Alcoolisme chronique sévère                                                                                                                                                                                                                                                                   </w:t>
      </w:r>
      <w:r>
        <w:rPr>
          <w:rFonts w:cstheme="minorHAnsi"/>
          <w:sz w:val="24"/>
          <w:szCs w:val="24"/>
        </w:rPr>
        <w:t xml:space="preserve">                              </w:t>
      </w:r>
      <w:r w:rsidRPr="00052EE7">
        <w:rPr>
          <w:rFonts w:cstheme="minorHAnsi"/>
          <w:sz w:val="24"/>
          <w:szCs w:val="24"/>
        </w:rPr>
        <w:t xml:space="preserve">                                                                                                                                                                                                                                                                                                                   </w:t>
      </w:r>
      <w:r>
        <w:rPr>
          <w:rFonts w:cstheme="minorHAnsi"/>
          <w:sz w:val="24"/>
          <w:szCs w:val="24"/>
        </w:rPr>
        <w:t xml:space="preserve">                            </w:t>
      </w:r>
    </w:p>
    <w:p w:rsidR="00490FA7" w:rsidRPr="00D70EDC" w:rsidRDefault="00490FA7" w:rsidP="00490FA7">
      <w:pPr>
        <w:rPr>
          <w:rFonts w:cstheme="minorHAnsi"/>
          <w:sz w:val="24"/>
          <w:szCs w:val="24"/>
        </w:rPr>
      </w:pPr>
      <w:r w:rsidRPr="00D70EDC">
        <w:rPr>
          <w:rFonts w:cstheme="minorHAnsi"/>
          <w:b/>
          <w:bCs/>
          <w:sz w:val="24"/>
          <w:szCs w:val="24"/>
        </w:rPr>
        <w:t>Effets secondaires :</w:t>
      </w:r>
      <w:r w:rsidRPr="00D70EDC">
        <w:rPr>
          <w:rFonts w:cstheme="minorHAnsi"/>
          <w:sz w:val="24"/>
          <w:szCs w:val="24"/>
        </w:rPr>
        <w:t xml:space="preserve">     </w:t>
      </w:r>
    </w:p>
    <w:p w:rsidR="00D70EDC" w:rsidRDefault="00490FA7" w:rsidP="00D70EDC">
      <w:pPr>
        <w:pStyle w:val="Paragraphedeliste"/>
        <w:numPr>
          <w:ilvl w:val="0"/>
          <w:numId w:val="1"/>
        </w:numPr>
        <w:spacing w:line="240" w:lineRule="auto"/>
        <w:jc w:val="both"/>
        <w:rPr>
          <w:rFonts w:cstheme="minorHAnsi"/>
          <w:sz w:val="24"/>
          <w:szCs w:val="24"/>
        </w:rPr>
      </w:pPr>
      <w:r w:rsidRPr="00D70EDC">
        <w:rPr>
          <w:rFonts w:cstheme="minorHAnsi"/>
          <w:b/>
          <w:sz w:val="24"/>
          <w:szCs w:val="24"/>
        </w:rPr>
        <w:t xml:space="preserve">Digestifs </w:t>
      </w:r>
      <w:r w:rsidR="00D70EDC" w:rsidRPr="00D70EDC">
        <w:rPr>
          <w:rFonts w:cstheme="minorHAnsi"/>
          <w:b/>
          <w:sz w:val="24"/>
          <w:szCs w:val="24"/>
        </w:rPr>
        <w:t>:</w:t>
      </w:r>
      <w:r w:rsidR="00D70EDC" w:rsidRPr="00D70EDC">
        <w:rPr>
          <w:rFonts w:cstheme="minorHAnsi"/>
          <w:sz w:val="24"/>
          <w:szCs w:val="24"/>
        </w:rPr>
        <w:t xml:space="preserve"> Ce</w:t>
      </w:r>
      <w:r w:rsidRPr="00D70EDC">
        <w:rPr>
          <w:rFonts w:cstheme="minorHAnsi"/>
          <w:sz w:val="24"/>
          <w:szCs w:val="24"/>
        </w:rPr>
        <w:t xml:space="preserve"> sont les effets secondaires les plus fréquents: 17,8 à 62 % des cas. </w:t>
      </w:r>
    </w:p>
    <w:p w:rsidR="00D70EDC" w:rsidRDefault="00490FA7" w:rsidP="00D70EDC">
      <w:pPr>
        <w:pStyle w:val="Paragraphedeliste"/>
        <w:spacing w:line="240" w:lineRule="auto"/>
        <w:ind w:left="360"/>
        <w:jc w:val="both"/>
        <w:rPr>
          <w:rFonts w:cstheme="minorHAnsi"/>
          <w:sz w:val="24"/>
          <w:szCs w:val="24"/>
        </w:rPr>
      </w:pPr>
      <w:r w:rsidRPr="00D70EDC">
        <w:rPr>
          <w:rFonts w:cstheme="minorHAnsi"/>
          <w:sz w:val="24"/>
          <w:szCs w:val="24"/>
        </w:rPr>
        <w:t xml:space="preserve">Il s’agit de, </w:t>
      </w:r>
      <w:r w:rsidRPr="00D70EDC">
        <w:rPr>
          <w:rFonts w:cstheme="minorHAnsi"/>
          <w:b/>
          <w:bCs/>
          <w:sz w:val="24"/>
          <w:szCs w:val="24"/>
        </w:rPr>
        <w:t>nausées, de vomissements d’une dyspepsie, d’anorexie, parfois de diarrhée ou de douleurs abdominales</w:t>
      </w:r>
      <w:r w:rsidRPr="00D70EDC">
        <w:rPr>
          <w:rFonts w:cstheme="minorHAnsi"/>
          <w:sz w:val="24"/>
          <w:szCs w:val="24"/>
        </w:rPr>
        <w:t>.</w:t>
      </w:r>
    </w:p>
    <w:p w:rsidR="00490FA7" w:rsidRPr="00D70EDC" w:rsidRDefault="00490FA7" w:rsidP="00D70EDC">
      <w:pPr>
        <w:pStyle w:val="Paragraphedeliste"/>
        <w:spacing w:line="240" w:lineRule="auto"/>
        <w:ind w:left="360"/>
        <w:jc w:val="both"/>
        <w:rPr>
          <w:rFonts w:cstheme="minorHAnsi"/>
          <w:sz w:val="24"/>
          <w:szCs w:val="24"/>
        </w:rPr>
      </w:pPr>
      <w:r w:rsidRPr="00D70EDC">
        <w:rPr>
          <w:rFonts w:cstheme="minorHAnsi"/>
          <w:sz w:val="24"/>
          <w:szCs w:val="24"/>
        </w:rPr>
        <w:t xml:space="preserve">Ces troubles sont dans l’ensemble, bénins et nécessitent rarement l’interruption du traitement. On les contrôle en réduisant la dose du MTX ou en passant par voie intramusculaire. </w:t>
      </w:r>
    </w:p>
    <w:p w:rsidR="00490FA7" w:rsidRPr="00277197" w:rsidRDefault="00490FA7" w:rsidP="008B6571">
      <w:pPr>
        <w:spacing w:after="0" w:line="240" w:lineRule="auto"/>
        <w:ind w:left="360"/>
        <w:jc w:val="both"/>
        <w:rPr>
          <w:rFonts w:cstheme="minorHAnsi"/>
          <w:sz w:val="24"/>
          <w:szCs w:val="24"/>
        </w:rPr>
      </w:pPr>
      <w:r w:rsidRPr="00277197">
        <w:rPr>
          <w:rFonts w:cstheme="minorHAnsi"/>
          <w:sz w:val="24"/>
          <w:szCs w:val="24"/>
        </w:rPr>
        <w:lastRenderedPageBreak/>
        <w:t xml:space="preserve">L’adjonction d’acide folique à faible dose, (5 mg) en évitant le jour de la prise, est le plus souvent efficace. </w:t>
      </w:r>
    </w:p>
    <w:p w:rsidR="00490FA7" w:rsidRPr="00277197" w:rsidRDefault="00490FA7" w:rsidP="008B6571">
      <w:pPr>
        <w:spacing w:after="0" w:line="240" w:lineRule="auto"/>
        <w:ind w:left="360"/>
        <w:jc w:val="both"/>
        <w:rPr>
          <w:rFonts w:cstheme="minorHAnsi"/>
          <w:sz w:val="24"/>
          <w:szCs w:val="24"/>
        </w:rPr>
      </w:pPr>
      <w:r w:rsidRPr="00277197">
        <w:rPr>
          <w:rFonts w:cstheme="minorHAnsi"/>
          <w:b/>
          <w:bCs/>
          <w:sz w:val="24"/>
          <w:szCs w:val="24"/>
        </w:rPr>
        <w:t>Une stomatite</w:t>
      </w:r>
      <w:r w:rsidRPr="00277197">
        <w:rPr>
          <w:rFonts w:cstheme="minorHAnsi"/>
          <w:sz w:val="24"/>
          <w:szCs w:val="24"/>
        </w:rPr>
        <w:t xml:space="preserve"> est fréquente mais elle impose rarement l’arrêt du traitement</w:t>
      </w:r>
    </w:p>
    <w:p w:rsidR="00490FA7" w:rsidRPr="00D70EDC" w:rsidRDefault="00490FA7" w:rsidP="00D70EDC">
      <w:pPr>
        <w:pStyle w:val="Paragraphedeliste"/>
        <w:numPr>
          <w:ilvl w:val="0"/>
          <w:numId w:val="1"/>
        </w:numPr>
        <w:spacing w:line="276" w:lineRule="auto"/>
        <w:jc w:val="both"/>
        <w:rPr>
          <w:rFonts w:cstheme="minorHAnsi"/>
          <w:b/>
          <w:sz w:val="24"/>
          <w:szCs w:val="24"/>
        </w:rPr>
      </w:pPr>
      <w:r w:rsidRPr="00D70EDC">
        <w:rPr>
          <w:rFonts w:cstheme="minorHAnsi"/>
          <w:b/>
          <w:sz w:val="24"/>
          <w:szCs w:val="24"/>
        </w:rPr>
        <w:t xml:space="preserve">Hépatique : </w:t>
      </w:r>
    </w:p>
    <w:p w:rsidR="00490FA7" w:rsidRPr="00277197" w:rsidRDefault="00490FA7" w:rsidP="00D70EDC">
      <w:pPr>
        <w:pStyle w:val="Paragraphedeliste"/>
        <w:spacing w:line="276" w:lineRule="auto"/>
        <w:ind w:left="360"/>
        <w:jc w:val="both"/>
        <w:rPr>
          <w:rFonts w:cstheme="minorHAnsi"/>
          <w:sz w:val="24"/>
          <w:szCs w:val="24"/>
        </w:rPr>
      </w:pPr>
      <w:r w:rsidRPr="00277197">
        <w:rPr>
          <w:rFonts w:cstheme="minorHAnsi"/>
          <w:sz w:val="24"/>
          <w:szCs w:val="24"/>
        </w:rPr>
        <w:t xml:space="preserve">L’incidence des maladies hépatiques sévères observées chez des patients atteints de PR et traités par MTX reste faible. </w:t>
      </w:r>
    </w:p>
    <w:p w:rsidR="00490FA7" w:rsidRPr="00277197" w:rsidRDefault="00490FA7" w:rsidP="00D70EDC">
      <w:pPr>
        <w:pStyle w:val="Paragraphedeliste"/>
        <w:spacing w:line="276" w:lineRule="auto"/>
        <w:ind w:left="360"/>
        <w:jc w:val="both"/>
        <w:rPr>
          <w:rFonts w:cstheme="minorHAnsi"/>
          <w:sz w:val="24"/>
          <w:szCs w:val="24"/>
        </w:rPr>
      </w:pPr>
      <w:r w:rsidRPr="00277197">
        <w:rPr>
          <w:rFonts w:cstheme="minorHAnsi"/>
          <w:sz w:val="24"/>
          <w:szCs w:val="24"/>
        </w:rPr>
        <w:t>Le MTX induit essentiellement des cytolyses hépatiques. On ne retient son caractère pathologique que si les transaminases sont supérieures à au moins deux fois la limite supérieure de la normale.</w:t>
      </w:r>
    </w:p>
    <w:p w:rsidR="00490FA7" w:rsidRPr="00277197" w:rsidRDefault="00490FA7" w:rsidP="00D70EDC">
      <w:pPr>
        <w:pStyle w:val="Paragraphedeliste"/>
        <w:numPr>
          <w:ilvl w:val="0"/>
          <w:numId w:val="1"/>
        </w:numPr>
        <w:spacing w:line="276" w:lineRule="auto"/>
        <w:jc w:val="both"/>
        <w:rPr>
          <w:rFonts w:cstheme="minorHAnsi"/>
          <w:sz w:val="24"/>
          <w:szCs w:val="24"/>
        </w:rPr>
      </w:pPr>
      <w:r w:rsidRPr="00D70EDC">
        <w:rPr>
          <w:rFonts w:cstheme="minorHAnsi"/>
          <w:b/>
          <w:sz w:val="24"/>
          <w:szCs w:val="24"/>
        </w:rPr>
        <w:t xml:space="preserve">Hématologique : </w:t>
      </w:r>
      <w:r w:rsidRPr="00277197">
        <w:rPr>
          <w:rFonts w:cstheme="minorHAnsi"/>
          <w:sz w:val="24"/>
          <w:szCs w:val="24"/>
        </w:rPr>
        <w:t xml:space="preserve">Ils sont observés dans 3 à 5 % des cas : il s’agit d’une </w:t>
      </w:r>
      <w:r w:rsidRPr="00277197">
        <w:rPr>
          <w:rFonts w:cstheme="minorHAnsi"/>
          <w:b/>
          <w:bCs/>
          <w:sz w:val="24"/>
          <w:szCs w:val="24"/>
        </w:rPr>
        <w:t>leucopénie</w:t>
      </w:r>
      <w:r w:rsidRPr="00277197">
        <w:rPr>
          <w:rFonts w:cstheme="minorHAnsi"/>
          <w:sz w:val="24"/>
          <w:szCs w:val="24"/>
        </w:rPr>
        <w:t xml:space="preserve"> ou d’une </w:t>
      </w:r>
      <w:proofErr w:type="spellStart"/>
      <w:r w:rsidRPr="00277197">
        <w:rPr>
          <w:rFonts w:cstheme="minorHAnsi"/>
          <w:b/>
          <w:bCs/>
          <w:sz w:val="24"/>
          <w:szCs w:val="24"/>
        </w:rPr>
        <w:t>thrombocytopénie</w:t>
      </w:r>
      <w:proofErr w:type="spellEnd"/>
      <w:r w:rsidRPr="00277197">
        <w:rPr>
          <w:rFonts w:cstheme="minorHAnsi"/>
          <w:sz w:val="24"/>
          <w:szCs w:val="24"/>
        </w:rPr>
        <w:t xml:space="preserve">, plus rarement d’une </w:t>
      </w:r>
      <w:proofErr w:type="spellStart"/>
      <w:r w:rsidRPr="00277197">
        <w:rPr>
          <w:rFonts w:cstheme="minorHAnsi"/>
          <w:b/>
          <w:bCs/>
          <w:sz w:val="24"/>
          <w:szCs w:val="24"/>
        </w:rPr>
        <w:t>pancytopénie</w:t>
      </w:r>
      <w:proofErr w:type="spellEnd"/>
      <w:r w:rsidRPr="00277197">
        <w:rPr>
          <w:rFonts w:cstheme="minorHAnsi"/>
          <w:sz w:val="24"/>
          <w:szCs w:val="24"/>
        </w:rPr>
        <w:t xml:space="preserve">. Ces accidents hématologiques peuvent survenir à tout moment, y compris dès la première prise de MTX. Ils sont plus fréquents chez les sujets de plus de 65 ans ayant une insuffisance rénale ou si certains produits comme le </w:t>
      </w:r>
      <w:proofErr w:type="spellStart"/>
      <w:r w:rsidRPr="00277197">
        <w:rPr>
          <w:rFonts w:cstheme="minorHAnsi"/>
          <w:sz w:val="24"/>
          <w:szCs w:val="24"/>
        </w:rPr>
        <w:t>triméthoprime</w:t>
      </w:r>
      <w:proofErr w:type="spellEnd"/>
      <w:r w:rsidRPr="00277197">
        <w:rPr>
          <w:rFonts w:cstheme="minorHAnsi"/>
          <w:sz w:val="24"/>
          <w:szCs w:val="24"/>
        </w:rPr>
        <w:t xml:space="preserve">, </w:t>
      </w:r>
      <w:proofErr w:type="spellStart"/>
      <w:r w:rsidRPr="00277197">
        <w:rPr>
          <w:rFonts w:cstheme="minorHAnsi"/>
          <w:sz w:val="24"/>
          <w:szCs w:val="24"/>
        </w:rPr>
        <w:t>sulfaméthoxazole</w:t>
      </w:r>
      <w:proofErr w:type="spellEnd"/>
      <w:r w:rsidRPr="00277197">
        <w:rPr>
          <w:rFonts w:cstheme="minorHAnsi"/>
          <w:sz w:val="24"/>
          <w:szCs w:val="24"/>
        </w:rPr>
        <w:t xml:space="preserve"> sont associés.</w:t>
      </w:r>
    </w:p>
    <w:p w:rsidR="00490FA7" w:rsidRPr="00277197" w:rsidRDefault="00490FA7" w:rsidP="00D70EDC">
      <w:pPr>
        <w:pStyle w:val="Paragraphedeliste"/>
        <w:numPr>
          <w:ilvl w:val="0"/>
          <w:numId w:val="1"/>
        </w:numPr>
        <w:spacing w:line="276" w:lineRule="auto"/>
        <w:jc w:val="both"/>
        <w:rPr>
          <w:rFonts w:cstheme="minorHAnsi"/>
          <w:sz w:val="24"/>
          <w:szCs w:val="24"/>
        </w:rPr>
      </w:pPr>
      <w:r w:rsidRPr="00D70EDC">
        <w:rPr>
          <w:rFonts w:cstheme="minorHAnsi"/>
          <w:b/>
          <w:sz w:val="24"/>
          <w:szCs w:val="24"/>
        </w:rPr>
        <w:t>Pulmonaire :</w:t>
      </w:r>
      <w:r w:rsidRPr="00277197">
        <w:rPr>
          <w:rFonts w:cstheme="minorHAnsi"/>
          <w:sz w:val="24"/>
          <w:szCs w:val="24"/>
        </w:rPr>
        <w:t xml:space="preserve"> Les réactions pulmonaires sont de deux types :                                                                         Il s’agit le plus souvent d’une </w:t>
      </w:r>
      <w:r w:rsidRPr="00277197">
        <w:rPr>
          <w:rFonts w:cstheme="minorHAnsi"/>
          <w:b/>
          <w:bCs/>
          <w:sz w:val="24"/>
          <w:szCs w:val="24"/>
        </w:rPr>
        <w:t>pneumopathie de surinfection</w:t>
      </w:r>
      <w:r w:rsidRPr="00277197">
        <w:rPr>
          <w:rFonts w:cstheme="minorHAnsi"/>
          <w:sz w:val="24"/>
          <w:szCs w:val="24"/>
        </w:rPr>
        <w:t xml:space="preserve"> à germe banal ou à germe opportuniste. Le lavage broncho-alvéolaire est parfois indiqué pour rechercher une infection opportuniste, notamment à </w:t>
      </w:r>
      <w:proofErr w:type="spellStart"/>
      <w:r w:rsidRPr="00277197">
        <w:rPr>
          <w:rFonts w:cstheme="minorHAnsi"/>
          <w:sz w:val="24"/>
          <w:szCs w:val="24"/>
        </w:rPr>
        <w:t>Pneumocystiscarinii</w:t>
      </w:r>
      <w:proofErr w:type="spellEnd"/>
      <w:r w:rsidRPr="00277197">
        <w:rPr>
          <w:rFonts w:cstheme="minorHAnsi"/>
          <w:sz w:val="24"/>
          <w:szCs w:val="24"/>
        </w:rPr>
        <w:t xml:space="preserve">.                                                                                                                    </w:t>
      </w:r>
      <w:r w:rsidRPr="00277197">
        <w:rPr>
          <w:rFonts w:cstheme="minorHAnsi"/>
          <w:b/>
          <w:bCs/>
          <w:sz w:val="24"/>
          <w:szCs w:val="24"/>
        </w:rPr>
        <w:t>Les pneumopathies d’hypersensibilité</w:t>
      </w:r>
      <w:r w:rsidRPr="00277197">
        <w:rPr>
          <w:rFonts w:cstheme="minorHAnsi"/>
          <w:sz w:val="24"/>
          <w:szCs w:val="24"/>
        </w:rPr>
        <w:t xml:space="preserve"> se manifestent par des symptômes non </w:t>
      </w:r>
      <w:proofErr w:type="spellStart"/>
      <w:r w:rsidRPr="00277197">
        <w:rPr>
          <w:rFonts w:cstheme="minorHAnsi"/>
          <w:sz w:val="24"/>
          <w:szCs w:val="24"/>
        </w:rPr>
        <w:t>spéciﬁques</w:t>
      </w:r>
      <w:proofErr w:type="spellEnd"/>
      <w:r w:rsidRPr="00277197">
        <w:rPr>
          <w:rFonts w:cstheme="minorHAnsi"/>
          <w:sz w:val="24"/>
          <w:szCs w:val="24"/>
        </w:rPr>
        <w:t xml:space="preserve"> à type de toux non productive, de </w:t>
      </w:r>
      <w:proofErr w:type="spellStart"/>
      <w:r w:rsidRPr="00277197">
        <w:rPr>
          <w:rFonts w:cstheme="minorHAnsi"/>
          <w:sz w:val="24"/>
          <w:szCs w:val="24"/>
        </w:rPr>
        <w:t>ﬁèvre</w:t>
      </w:r>
      <w:proofErr w:type="spellEnd"/>
      <w:r w:rsidRPr="00277197">
        <w:rPr>
          <w:rFonts w:cstheme="minorHAnsi"/>
          <w:sz w:val="24"/>
          <w:szCs w:val="24"/>
        </w:rPr>
        <w:t xml:space="preserve"> et de dyspnée. La radiographie montre un syndrome interstitiel. Le lavage broncho alvéolaire est impératif; il montre un liquide à prédominance lymphocytaire et permet de rechercher une infection </w:t>
      </w:r>
      <w:r w:rsidR="00873817" w:rsidRPr="00277197">
        <w:rPr>
          <w:rFonts w:cstheme="minorHAnsi"/>
          <w:sz w:val="24"/>
          <w:szCs w:val="24"/>
        </w:rPr>
        <w:t xml:space="preserve">opportuniste. </w:t>
      </w:r>
      <w:r w:rsidRPr="00277197">
        <w:rPr>
          <w:rFonts w:cstheme="minorHAnsi"/>
          <w:sz w:val="24"/>
          <w:szCs w:val="24"/>
        </w:rPr>
        <w:t>L’existence d’une atteinte pulmonaire sous-jacente incite à la prudence, mais ne constitue pas une réelle contre-indication au  MTX.</w:t>
      </w:r>
    </w:p>
    <w:p w:rsidR="00490FA7" w:rsidRPr="00D70EDC" w:rsidRDefault="00490FA7" w:rsidP="00D70EDC">
      <w:pPr>
        <w:pStyle w:val="Paragraphedeliste"/>
        <w:numPr>
          <w:ilvl w:val="0"/>
          <w:numId w:val="1"/>
        </w:numPr>
        <w:spacing w:line="276" w:lineRule="auto"/>
        <w:jc w:val="both"/>
        <w:rPr>
          <w:rFonts w:cstheme="minorHAnsi"/>
          <w:b/>
          <w:sz w:val="24"/>
          <w:szCs w:val="24"/>
        </w:rPr>
      </w:pPr>
      <w:r w:rsidRPr="00D70EDC">
        <w:rPr>
          <w:rFonts w:cstheme="minorHAnsi"/>
          <w:b/>
          <w:sz w:val="24"/>
          <w:szCs w:val="24"/>
        </w:rPr>
        <w:t xml:space="preserve">Effet secondaire infectieux : </w:t>
      </w:r>
    </w:p>
    <w:p w:rsidR="00490FA7" w:rsidRPr="00277197" w:rsidRDefault="00490FA7" w:rsidP="00490FA7">
      <w:pPr>
        <w:pStyle w:val="Paragraphedeliste"/>
        <w:ind w:left="360"/>
        <w:rPr>
          <w:rFonts w:cstheme="minorHAnsi"/>
          <w:sz w:val="24"/>
          <w:szCs w:val="24"/>
        </w:rPr>
      </w:pPr>
      <w:r w:rsidRPr="00277197">
        <w:rPr>
          <w:rFonts w:cstheme="minorHAnsi"/>
          <w:sz w:val="24"/>
          <w:szCs w:val="24"/>
        </w:rPr>
        <w:t xml:space="preserve">Dans 4,6 à 11,6 %. Certaines </w:t>
      </w:r>
      <w:r w:rsidRPr="00277197">
        <w:rPr>
          <w:rFonts w:cstheme="minorHAnsi"/>
          <w:b/>
          <w:bCs/>
          <w:sz w:val="24"/>
          <w:szCs w:val="24"/>
        </w:rPr>
        <w:t>infections virales</w:t>
      </w:r>
      <w:r w:rsidR="00873817">
        <w:rPr>
          <w:rFonts w:cstheme="minorHAnsi"/>
          <w:b/>
          <w:bCs/>
          <w:sz w:val="24"/>
          <w:szCs w:val="24"/>
        </w:rPr>
        <w:t xml:space="preserve"> </w:t>
      </w:r>
      <w:r w:rsidRPr="00277197">
        <w:rPr>
          <w:rFonts w:cstheme="minorHAnsi"/>
          <w:b/>
          <w:bCs/>
          <w:sz w:val="24"/>
          <w:szCs w:val="24"/>
        </w:rPr>
        <w:t>(</w:t>
      </w:r>
      <w:r w:rsidRPr="00277197">
        <w:rPr>
          <w:rFonts w:cstheme="minorHAnsi"/>
          <w:sz w:val="24"/>
          <w:szCs w:val="24"/>
        </w:rPr>
        <w:t xml:space="preserve">zonas, </w:t>
      </w:r>
      <w:r w:rsidRPr="00277197">
        <w:rPr>
          <w:rFonts w:cstheme="minorHAnsi"/>
          <w:b/>
          <w:bCs/>
          <w:sz w:val="24"/>
          <w:szCs w:val="24"/>
        </w:rPr>
        <w:t>des infections banales</w:t>
      </w:r>
      <w:r w:rsidRPr="00277197">
        <w:rPr>
          <w:rFonts w:cstheme="minorHAnsi"/>
          <w:sz w:val="24"/>
          <w:szCs w:val="24"/>
        </w:rPr>
        <w:t xml:space="preserve"> mais également à germes opportunistes comme </w:t>
      </w:r>
      <w:proofErr w:type="spellStart"/>
      <w:r w:rsidRPr="00277197">
        <w:rPr>
          <w:rFonts w:cstheme="minorHAnsi"/>
          <w:sz w:val="24"/>
          <w:szCs w:val="24"/>
        </w:rPr>
        <w:t>pneumocystis</w:t>
      </w:r>
      <w:proofErr w:type="spellEnd"/>
      <w:r w:rsidRPr="00277197">
        <w:rPr>
          <w:rFonts w:cstheme="minorHAnsi"/>
          <w:sz w:val="24"/>
          <w:szCs w:val="24"/>
        </w:rPr>
        <w:t xml:space="preserve"> </w:t>
      </w:r>
      <w:proofErr w:type="spellStart"/>
      <w:r w:rsidRPr="00277197">
        <w:rPr>
          <w:rFonts w:cstheme="minorHAnsi"/>
          <w:sz w:val="24"/>
          <w:szCs w:val="24"/>
        </w:rPr>
        <w:t>carinii</w:t>
      </w:r>
      <w:proofErr w:type="spellEnd"/>
      <w:r w:rsidRPr="00277197">
        <w:rPr>
          <w:rFonts w:cstheme="minorHAnsi"/>
          <w:sz w:val="24"/>
          <w:szCs w:val="24"/>
        </w:rPr>
        <w:t xml:space="preserve">, aspergillus, </w:t>
      </w:r>
      <w:proofErr w:type="spellStart"/>
      <w:r w:rsidRPr="00277197">
        <w:rPr>
          <w:rFonts w:cstheme="minorHAnsi"/>
          <w:sz w:val="24"/>
          <w:szCs w:val="24"/>
        </w:rPr>
        <w:t>cryptococcus</w:t>
      </w:r>
      <w:proofErr w:type="spellEnd"/>
      <w:r w:rsidRPr="00277197">
        <w:rPr>
          <w:rFonts w:cstheme="minorHAnsi"/>
          <w:sz w:val="24"/>
          <w:szCs w:val="24"/>
        </w:rPr>
        <w:t xml:space="preserve"> ou </w:t>
      </w:r>
      <w:proofErr w:type="spellStart"/>
      <w:r w:rsidRPr="00277197">
        <w:rPr>
          <w:rFonts w:cstheme="minorHAnsi"/>
          <w:sz w:val="24"/>
          <w:szCs w:val="24"/>
        </w:rPr>
        <w:t>nocardia</w:t>
      </w:r>
      <w:proofErr w:type="spellEnd"/>
      <w:r w:rsidRPr="00277197">
        <w:rPr>
          <w:rFonts w:cstheme="minorHAnsi"/>
          <w:sz w:val="24"/>
          <w:szCs w:val="24"/>
        </w:rPr>
        <w:t xml:space="preserve">, éventuellement cytomégalovirus). </w:t>
      </w:r>
    </w:p>
    <w:p w:rsidR="00490FA7" w:rsidRPr="00277197" w:rsidRDefault="00490FA7" w:rsidP="00490FA7">
      <w:pPr>
        <w:pStyle w:val="Paragraphedeliste"/>
        <w:ind w:left="360"/>
        <w:rPr>
          <w:rFonts w:cstheme="minorHAnsi"/>
          <w:sz w:val="24"/>
          <w:szCs w:val="24"/>
        </w:rPr>
      </w:pPr>
    </w:p>
    <w:p w:rsidR="00362661" w:rsidRDefault="00490FA7" w:rsidP="00362661">
      <w:pPr>
        <w:pStyle w:val="Paragraphedeliste"/>
        <w:numPr>
          <w:ilvl w:val="0"/>
          <w:numId w:val="2"/>
        </w:numPr>
        <w:jc w:val="both"/>
        <w:rPr>
          <w:rFonts w:cstheme="minorHAnsi"/>
          <w:sz w:val="24"/>
          <w:szCs w:val="24"/>
        </w:rPr>
      </w:pPr>
      <w:r w:rsidRPr="00362661">
        <w:rPr>
          <w:rFonts w:cstheme="minorHAnsi"/>
          <w:b/>
          <w:sz w:val="24"/>
          <w:szCs w:val="24"/>
        </w:rPr>
        <w:t>le MTX est tératogène :</w:t>
      </w:r>
      <w:r w:rsidRPr="00362661">
        <w:rPr>
          <w:rFonts w:cstheme="minorHAnsi"/>
          <w:sz w:val="24"/>
          <w:szCs w:val="24"/>
        </w:rPr>
        <w:t xml:space="preserve"> Toute grossesse doit strictement être évitée pendant le traitement. Une contraception efficace est donc indispensable, Une grossesse normale peut survenir 3 mois après l’arrêt du traitement.</w:t>
      </w:r>
    </w:p>
    <w:p w:rsidR="00490FA7" w:rsidRPr="00362661" w:rsidRDefault="00490FA7" w:rsidP="00362661">
      <w:pPr>
        <w:pStyle w:val="Paragraphedeliste"/>
        <w:ind w:left="360"/>
        <w:jc w:val="both"/>
        <w:rPr>
          <w:rFonts w:cstheme="minorHAnsi"/>
          <w:sz w:val="24"/>
          <w:szCs w:val="24"/>
        </w:rPr>
      </w:pPr>
      <w:r w:rsidRPr="00362661">
        <w:rPr>
          <w:rFonts w:cstheme="minorHAnsi"/>
          <w:sz w:val="24"/>
          <w:szCs w:val="24"/>
        </w:rPr>
        <w:t xml:space="preserve">Le MTX passant dans le lait, l’allaitement ne doit pas être envisagé. </w:t>
      </w:r>
    </w:p>
    <w:p w:rsidR="00490FA7" w:rsidRPr="00277197" w:rsidRDefault="00490FA7" w:rsidP="00362661">
      <w:pPr>
        <w:pStyle w:val="Paragraphedeliste"/>
        <w:ind w:left="360"/>
        <w:jc w:val="both"/>
        <w:rPr>
          <w:rFonts w:cstheme="minorHAnsi"/>
          <w:sz w:val="24"/>
          <w:szCs w:val="24"/>
        </w:rPr>
      </w:pPr>
      <w:r w:rsidRPr="00277197">
        <w:rPr>
          <w:rFonts w:cstheme="minorHAnsi"/>
          <w:sz w:val="24"/>
          <w:szCs w:val="24"/>
        </w:rPr>
        <w:t>Chez l’homme, à fortes doses, le MTX peut induire une oligospermie réversible.</w:t>
      </w:r>
    </w:p>
    <w:p w:rsidR="00490FA7" w:rsidRPr="00277197" w:rsidRDefault="00490FA7" w:rsidP="00362661">
      <w:pPr>
        <w:pStyle w:val="Paragraphedeliste"/>
        <w:ind w:left="360"/>
        <w:jc w:val="both"/>
        <w:rPr>
          <w:rFonts w:cstheme="minorHAnsi"/>
          <w:sz w:val="24"/>
          <w:szCs w:val="24"/>
        </w:rPr>
      </w:pPr>
      <w:r w:rsidRPr="00277197">
        <w:rPr>
          <w:rFonts w:cstheme="minorHAnsi"/>
          <w:sz w:val="24"/>
          <w:szCs w:val="24"/>
        </w:rPr>
        <w:t xml:space="preserve"> Le MTX ne provoque pas de stérilité.</w:t>
      </w:r>
    </w:p>
    <w:p w:rsidR="00490FA7" w:rsidRPr="00277197" w:rsidRDefault="00490FA7" w:rsidP="00362661">
      <w:pPr>
        <w:pStyle w:val="Paragraphedeliste"/>
        <w:numPr>
          <w:ilvl w:val="0"/>
          <w:numId w:val="2"/>
        </w:numPr>
        <w:jc w:val="both"/>
        <w:rPr>
          <w:rFonts w:cstheme="minorHAnsi"/>
          <w:sz w:val="24"/>
          <w:szCs w:val="24"/>
        </w:rPr>
      </w:pPr>
      <w:r w:rsidRPr="00D70EDC">
        <w:rPr>
          <w:rFonts w:cstheme="minorHAnsi"/>
          <w:b/>
          <w:sz w:val="24"/>
          <w:szCs w:val="24"/>
        </w:rPr>
        <w:t>Effet oncogènes :</w:t>
      </w:r>
      <w:r w:rsidRPr="00277197">
        <w:rPr>
          <w:rFonts w:cstheme="minorHAnsi"/>
          <w:sz w:val="24"/>
          <w:szCs w:val="24"/>
        </w:rPr>
        <w:t xml:space="preserve"> Le MTX n’induit pas de néoplasie solide. </w:t>
      </w:r>
    </w:p>
    <w:p w:rsidR="00490FA7" w:rsidRPr="00277197" w:rsidRDefault="00490FA7" w:rsidP="00362661">
      <w:pPr>
        <w:jc w:val="both"/>
        <w:rPr>
          <w:rFonts w:cstheme="minorHAnsi"/>
          <w:sz w:val="24"/>
          <w:szCs w:val="24"/>
        </w:rPr>
      </w:pPr>
      <w:r w:rsidRPr="00362661">
        <w:rPr>
          <w:rFonts w:cstheme="minorHAnsi"/>
          <w:b/>
          <w:bCs/>
          <w:sz w:val="24"/>
          <w:szCs w:val="24"/>
        </w:rPr>
        <w:t>Surveillance :</w:t>
      </w:r>
      <w:r w:rsidRPr="00277197">
        <w:rPr>
          <w:rFonts w:cstheme="minorHAnsi"/>
          <w:sz w:val="24"/>
          <w:szCs w:val="24"/>
        </w:rPr>
        <w:t xml:space="preserve"> Surveillance hépatique chez les malades traités par MTX </w:t>
      </w:r>
    </w:p>
    <w:p w:rsidR="00490FA7" w:rsidRPr="00277197" w:rsidRDefault="00490FA7" w:rsidP="00362661">
      <w:pPr>
        <w:jc w:val="both"/>
        <w:rPr>
          <w:rFonts w:cstheme="minorHAnsi"/>
          <w:sz w:val="24"/>
          <w:szCs w:val="24"/>
        </w:rPr>
      </w:pPr>
      <w:r w:rsidRPr="00277197">
        <w:rPr>
          <w:rFonts w:cstheme="minorHAnsi"/>
          <w:sz w:val="24"/>
          <w:szCs w:val="24"/>
        </w:rPr>
        <w:t>Recommandations de l’ACR :</w:t>
      </w:r>
    </w:p>
    <w:p w:rsidR="00490FA7" w:rsidRPr="005565BE" w:rsidRDefault="00490FA7" w:rsidP="00CE19DF">
      <w:pPr>
        <w:pStyle w:val="Paragraphedeliste"/>
        <w:numPr>
          <w:ilvl w:val="0"/>
          <w:numId w:val="44"/>
        </w:numPr>
        <w:jc w:val="both"/>
        <w:rPr>
          <w:rFonts w:cstheme="minorHAnsi"/>
          <w:sz w:val="24"/>
          <w:szCs w:val="24"/>
        </w:rPr>
      </w:pPr>
      <w:r w:rsidRPr="005565BE">
        <w:rPr>
          <w:rFonts w:cstheme="minorHAnsi"/>
          <w:sz w:val="24"/>
          <w:szCs w:val="24"/>
        </w:rPr>
        <w:t>Recherche des facteurs de risque hépatique chez les malades. Intérêt d’une biopsie hépatique si les patients ont des facteur</w:t>
      </w:r>
      <w:r w:rsidR="00362661" w:rsidRPr="005565BE">
        <w:rPr>
          <w:rFonts w:cstheme="minorHAnsi"/>
          <w:sz w:val="24"/>
          <w:szCs w:val="24"/>
        </w:rPr>
        <w:t>s de risque.</w:t>
      </w:r>
      <w:r w:rsidRPr="005565BE">
        <w:rPr>
          <w:rFonts w:cstheme="minorHAnsi"/>
          <w:sz w:val="24"/>
          <w:szCs w:val="24"/>
        </w:rPr>
        <w:t xml:space="preserve">                                                              </w:t>
      </w:r>
    </w:p>
    <w:p w:rsidR="00490FA7" w:rsidRPr="005565BE" w:rsidRDefault="00490FA7" w:rsidP="00CE19DF">
      <w:pPr>
        <w:pStyle w:val="Paragraphedeliste"/>
        <w:numPr>
          <w:ilvl w:val="0"/>
          <w:numId w:val="44"/>
        </w:numPr>
        <w:jc w:val="both"/>
        <w:rPr>
          <w:rFonts w:cstheme="minorHAnsi"/>
          <w:sz w:val="24"/>
          <w:szCs w:val="24"/>
        </w:rPr>
      </w:pPr>
      <w:r w:rsidRPr="005565BE">
        <w:rPr>
          <w:rFonts w:cstheme="minorHAnsi"/>
          <w:sz w:val="24"/>
          <w:szCs w:val="24"/>
        </w:rPr>
        <w:lastRenderedPageBreak/>
        <w:t>La surveillance biologique est indispensable : hémogramme avec numération des plaquettes, transaminases, créatininémie toutes les semaines pendant les premiers mois, puis tous les mois ; surveillance régulière de l’albuminémie.</w:t>
      </w:r>
    </w:p>
    <w:p w:rsidR="00CE3E91" w:rsidRPr="005565BE" w:rsidRDefault="00CE3E91" w:rsidP="00CE19DF">
      <w:pPr>
        <w:pStyle w:val="Paragraphedeliste"/>
        <w:numPr>
          <w:ilvl w:val="0"/>
          <w:numId w:val="44"/>
        </w:numPr>
        <w:jc w:val="both"/>
        <w:rPr>
          <w:rFonts w:cstheme="minorHAnsi"/>
          <w:color w:val="000000" w:themeColor="text1"/>
          <w:sz w:val="24"/>
          <w:szCs w:val="24"/>
        </w:rPr>
      </w:pPr>
      <w:r w:rsidRPr="005565BE">
        <w:rPr>
          <w:rFonts w:cstheme="minorHAnsi"/>
          <w:color w:val="000000" w:themeColor="text1"/>
          <w:sz w:val="24"/>
          <w:szCs w:val="24"/>
        </w:rPr>
        <w:t>Risques d’</w:t>
      </w:r>
      <w:proofErr w:type="spellStart"/>
      <w:r w:rsidRPr="005565BE">
        <w:rPr>
          <w:rFonts w:cstheme="minorHAnsi"/>
          <w:color w:val="000000" w:themeColor="text1"/>
          <w:sz w:val="24"/>
          <w:szCs w:val="24"/>
        </w:rPr>
        <w:t>hépatotoxité</w:t>
      </w:r>
      <w:proofErr w:type="spellEnd"/>
      <w:r w:rsidRPr="005565BE">
        <w:rPr>
          <w:rFonts w:cstheme="minorHAnsi"/>
          <w:color w:val="000000" w:themeColor="text1"/>
          <w:sz w:val="24"/>
          <w:szCs w:val="24"/>
        </w:rPr>
        <w:t xml:space="preserve"> accrus en cas de consommation excessive d’alcool, d’obésité et de diabète</w:t>
      </w:r>
    </w:p>
    <w:p w:rsidR="00CE3E91" w:rsidRPr="005565BE" w:rsidRDefault="00CE3E91" w:rsidP="00CE19DF">
      <w:pPr>
        <w:pStyle w:val="Paragraphedeliste"/>
        <w:numPr>
          <w:ilvl w:val="0"/>
          <w:numId w:val="44"/>
        </w:numPr>
        <w:jc w:val="both"/>
        <w:rPr>
          <w:rFonts w:cstheme="minorHAnsi"/>
          <w:color w:val="000000" w:themeColor="text1"/>
          <w:sz w:val="24"/>
          <w:szCs w:val="24"/>
        </w:rPr>
      </w:pPr>
      <w:r w:rsidRPr="005565BE">
        <w:rPr>
          <w:rFonts w:cstheme="minorHAnsi"/>
          <w:color w:val="000000" w:themeColor="text1"/>
          <w:sz w:val="24"/>
          <w:szCs w:val="24"/>
        </w:rPr>
        <w:t xml:space="preserve">Ne doit pas être utilisé en association avec le </w:t>
      </w:r>
      <w:proofErr w:type="spellStart"/>
      <w:r w:rsidRPr="005565BE">
        <w:rPr>
          <w:rFonts w:cstheme="minorHAnsi"/>
          <w:color w:val="000000" w:themeColor="text1"/>
          <w:sz w:val="24"/>
          <w:szCs w:val="24"/>
        </w:rPr>
        <w:t>Bactrim</w:t>
      </w:r>
      <w:proofErr w:type="spellEnd"/>
      <w:r w:rsidRPr="005565BE">
        <w:rPr>
          <w:rFonts w:cstheme="minorHAnsi"/>
          <w:color w:val="000000" w:themeColor="text1"/>
          <w:sz w:val="24"/>
          <w:szCs w:val="24"/>
        </w:rPr>
        <w:t xml:space="preserve">® </w:t>
      </w:r>
    </w:p>
    <w:p w:rsidR="00CE3E91" w:rsidRPr="005565BE" w:rsidRDefault="00CE3E91" w:rsidP="00CE19DF">
      <w:pPr>
        <w:pStyle w:val="Paragraphedeliste"/>
        <w:numPr>
          <w:ilvl w:val="0"/>
          <w:numId w:val="44"/>
        </w:numPr>
        <w:jc w:val="both"/>
        <w:rPr>
          <w:rFonts w:cstheme="minorHAnsi"/>
          <w:color w:val="000000" w:themeColor="text1"/>
          <w:sz w:val="24"/>
          <w:szCs w:val="24"/>
        </w:rPr>
      </w:pPr>
      <w:r w:rsidRPr="005565BE">
        <w:rPr>
          <w:rFonts w:cstheme="minorHAnsi"/>
          <w:color w:val="000000" w:themeColor="text1"/>
          <w:sz w:val="24"/>
          <w:szCs w:val="24"/>
        </w:rPr>
        <w:t xml:space="preserve">Toxicité accrue en cas d’insuffisance rénale </w:t>
      </w:r>
    </w:p>
    <w:p w:rsidR="00FF2669" w:rsidRPr="00B97BD0" w:rsidRDefault="00362661" w:rsidP="00362661">
      <w:pPr>
        <w:jc w:val="both"/>
        <w:rPr>
          <w:rFonts w:cstheme="minorHAnsi"/>
          <w:b/>
          <w:color w:val="FF0000"/>
          <w:sz w:val="28"/>
          <w:szCs w:val="24"/>
        </w:rPr>
      </w:pPr>
      <w:r w:rsidRPr="00B97BD0">
        <w:rPr>
          <w:rFonts w:cstheme="minorHAnsi"/>
          <w:b/>
          <w:sz w:val="28"/>
          <w:szCs w:val="24"/>
        </w:rPr>
        <w:t xml:space="preserve">c- </w:t>
      </w:r>
      <w:proofErr w:type="spellStart"/>
      <w:r w:rsidRPr="00B97BD0">
        <w:rPr>
          <w:rFonts w:cstheme="minorHAnsi"/>
          <w:b/>
          <w:sz w:val="28"/>
          <w:szCs w:val="24"/>
        </w:rPr>
        <w:t>Leflunomid</w:t>
      </w:r>
      <w:proofErr w:type="spellEnd"/>
      <w:r w:rsidRPr="00B97BD0">
        <w:rPr>
          <w:rFonts w:cstheme="minorHAnsi"/>
          <w:b/>
          <w:sz w:val="28"/>
          <w:szCs w:val="24"/>
        </w:rPr>
        <w:t xml:space="preserve"> (ARAVA) : </w:t>
      </w:r>
    </w:p>
    <w:p w:rsidR="00610146" w:rsidRDefault="00FF2669" w:rsidP="00362661">
      <w:pPr>
        <w:jc w:val="both"/>
        <w:rPr>
          <w:rFonts w:cstheme="minorHAnsi"/>
          <w:color w:val="000000" w:themeColor="text1"/>
          <w:sz w:val="24"/>
          <w:szCs w:val="24"/>
        </w:rPr>
      </w:pPr>
      <w:r w:rsidRPr="00277197">
        <w:rPr>
          <w:rFonts w:cstheme="minorHAnsi"/>
          <w:color w:val="000000" w:themeColor="text1"/>
          <w:sz w:val="24"/>
          <w:szCs w:val="24"/>
        </w:rPr>
        <w:t xml:space="preserve">Ce médicament est un inhibiteur de la </w:t>
      </w:r>
      <w:proofErr w:type="spellStart"/>
      <w:r w:rsidRPr="00277197">
        <w:rPr>
          <w:rFonts w:cstheme="minorHAnsi"/>
          <w:color w:val="000000" w:themeColor="text1"/>
          <w:sz w:val="24"/>
          <w:szCs w:val="24"/>
        </w:rPr>
        <w:t>dihydro-orotate</w:t>
      </w:r>
      <w:proofErr w:type="spellEnd"/>
      <w:r w:rsidRPr="00277197">
        <w:rPr>
          <w:rFonts w:cstheme="minorHAnsi"/>
          <w:color w:val="000000" w:themeColor="text1"/>
          <w:sz w:val="24"/>
          <w:szCs w:val="24"/>
        </w:rPr>
        <w:t xml:space="preserve"> déshydrogénase, agent antiprolifératif (cellules en division rapide comme les lymphocytes activés) et immunosuppresseur. </w:t>
      </w:r>
    </w:p>
    <w:p w:rsidR="00FF2669" w:rsidRPr="00277197" w:rsidRDefault="00FF2669" w:rsidP="00362661">
      <w:pPr>
        <w:jc w:val="both"/>
        <w:rPr>
          <w:rFonts w:cstheme="minorHAnsi"/>
          <w:sz w:val="24"/>
          <w:szCs w:val="24"/>
        </w:rPr>
      </w:pPr>
      <w:r w:rsidRPr="00362661">
        <w:rPr>
          <w:rFonts w:cstheme="minorHAnsi"/>
          <w:b/>
          <w:bCs/>
          <w:sz w:val="24"/>
          <w:szCs w:val="24"/>
        </w:rPr>
        <w:t>Forme et posologie :</w:t>
      </w:r>
      <w:r w:rsidRPr="00277197">
        <w:rPr>
          <w:rFonts w:cstheme="minorHAnsi"/>
          <w:sz w:val="24"/>
          <w:szCs w:val="24"/>
        </w:rPr>
        <w:t xml:space="preserve"> Cp 10, 20</w:t>
      </w:r>
      <w:r w:rsidR="00610146">
        <w:rPr>
          <w:rFonts w:cstheme="minorHAnsi"/>
          <w:sz w:val="24"/>
          <w:szCs w:val="24"/>
        </w:rPr>
        <w:t xml:space="preserve">. </w:t>
      </w:r>
      <w:r w:rsidRPr="00277197">
        <w:rPr>
          <w:rFonts w:cstheme="minorHAnsi"/>
          <w:sz w:val="24"/>
          <w:szCs w:val="24"/>
        </w:rPr>
        <w:t xml:space="preserve">La posologie habituelle de 20 mg/j. </w:t>
      </w:r>
    </w:p>
    <w:p w:rsidR="00362661" w:rsidRDefault="004D1E41" w:rsidP="00362661">
      <w:pPr>
        <w:jc w:val="both"/>
        <w:rPr>
          <w:rFonts w:cstheme="minorHAnsi"/>
          <w:b/>
          <w:bCs/>
          <w:sz w:val="24"/>
          <w:szCs w:val="24"/>
        </w:rPr>
      </w:pPr>
      <w:r w:rsidRPr="00362661">
        <w:rPr>
          <w:rFonts w:cstheme="minorHAnsi"/>
          <w:b/>
          <w:bCs/>
          <w:sz w:val="24"/>
          <w:szCs w:val="24"/>
        </w:rPr>
        <w:t>Contre-indication</w:t>
      </w:r>
      <w:r w:rsidR="00FF2669" w:rsidRPr="00362661">
        <w:rPr>
          <w:rFonts w:cstheme="minorHAnsi"/>
          <w:b/>
          <w:bCs/>
          <w:sz w:val="24"/>
          <w:szCs w:val="24"/>
        </w:rPr>
        <w:t> </w:t>
      </w:r>
      <w:r w:rsidR="00362661">
        <w:rPr>
          <w:rFonts w:cstheme="minorHAnsi"/>
          <w:b/>
          <w:bCs/>
          <w:sz w:val="24"/>
          <w:szCs w:val="24"/>
        </w:rPr>
        <w:t xml:space="preserve">: </w:t>
      </w:r>
    </w:p>
    <w:p w:rsidR="00362661" w:rsidRDefault="00FF2669" w:rsidP="00CE19DF">
      <w:pPr>
        <w:pStyle w:val="Paragraphedeliste"/>
        <w:numPr>
          <w:ilvl w:val="0"/>
          <w:numId w:val="37"/>
        </w:numPr>
        <w:jc w:val="both"/>
        <w:rPr>
          <w:rFonts w:cstheme="minorHAnsi"/>
          <w:color w:val="000000" w:themeColor="text1"/>
          <w:sz w:val="24"/>
          <w:szCs w:val="24"/>
        </w:rPr>
      </w:pPr>
      <w:r w:rsidRPr="00362661">
        <w:rPr>
          <w:rFonts w:cstheme="minorHAnsi"/>
          <w:color w:val="000000" w:themeColor="text1"/>
          <w:sz w:val="24"/>
          <w:szCs w:val="24"/>
        </w:rPr>
        <w:t xml:space="preserve">Insuffisance hépatique.           </w:t>
      </w:r>
    </w:p>
    <w:p w:rsidR="00362661" w:rsidRDefault="00FF2669" w:rsidP="00CE19DF">
      <w:pPr>
        <w:pStyle w:val="Paragraphedeliste"/>
        <w:numPr>
          <w:ilvl w:val="0"/>
          <w:numId w:val="37"/>
        </w:numPr>
        <w:jc w:val="both"/>
        <w:rPr>
          <w:rFonts w:cstheme="minorHAnsi"/>
          <w:color w:val="000000" w:themeColor="text1"/>
          <w:sz w:val="24"/>
          <w:szCs w:val="24"/>
        </w:rPr>
      </w:pPr>
      <w:r w:rsidRPr="00362661">
        <w:rPr>
          <w:rFonts w:cstheme="minorHAnsi"/>
          <w:color w:val="000000" w:themeColor="text1"/>
          <w:sz w:val="24"/>
          <w:szCs w:val="24"/>
        </w:rPr>
        <w:t>État d'immunodéficience grave, par exemple patients atteints du sida.</w:t>
      </w:r>
    </w:p>
    <w:p w:rsidR="00362661" w:rsidRDefault="00FF2669" w:rsidP="00CE19DF">
      <w:pPr>
        <w:pStyle w:val="Paragraphedeliste"/>
        <w:numPr>
          <w:ilvl w:val="0"/>
          <w:numId w:val="37"/>
        </w:numPr>
        <w:jc w:val="both"/>
        <w:rPr>
          <w:rFonts w:cstheme="minorHAnsi"/>
          <w:color w:val="000000" w:themeColor="text1"/>
          <w:sz w:val="24"/>
          <w:szCs w:val="24"/>
        </w:rPr>
      </w:pPr>
      <w:r w:rsidRPr="00362661">
        <w:rPr>
          <w:rFonts w:cstheme="minorHAnsi"/>
          <w:color w:val="000000" w:themeColor="text1"/>
          <w:sz w:val="24"/>
          <w:szCs w:val="24"/>
        </w:rPr>
        <w:t xml:space="preserve">Dysfonction médullaire grave, ou </w:t>
      </w:r>
      <w:r w:rsidR="00362661" w:rsidRPr="00362661">
        <w:rPr>
          <w:rFonts w:cstheme="minorHAnsi"/>
          <w:color w:val="000000" w:themeColor="text1"/>
          <w:sz w:val="24"/>
          <w:szCs w:val="24"/>
        </w:rPr>
        <w:t xml:space="preserve">une anémie, une leucopénie, une </w:t>
      </w:r>
      <w:r w:rsidR="00873817" w:rsidRPr="00362661">
        <w:rPr>
          <w:rFonts w:cstheme="minorHAnsi"/>
          <w:color w:val="000000" w:themeColor="text1"/>
          <w:sz w:val="24"/>
          <w:szCs w:val="24"/>
        </w:rPr>
        <w:t>Neutropénie</w:t>
      </w:r>
      <w:r w:rsidRPr="00362661">
        <w:rPr>
          <w:rFonts w:cstheme="minorHAnsi"/>
          <w:color w:val="000000" w:themeColor="text1"/>
          <w:sz w:val="24"/>
          <w:szCs w:val="24"/>
        </w:rPr>
        <w:t>, ou une thrombopénie pro</w:t>
      </w:r>
      <w:r w:rsidR="00362661" w:rsidRPr="00362661">
        <w:rPr>
          <w:rFonts w:cstheme="minorHAnsi"/>
          <w:color w:val="000000" w:themeColor="text1"/>
          <w:sz w:val="24"/>
          <w:szCs w:val="24"/>
        </w:rPr>
        <w:t xml:space="preserve">fonde d'origine autre que la </w:t>
      </w:r>
      <w:r w:rsidR="00873817" w:rsidRPr="00362661">
        <w:rPr>
          <w:rFonts w:cstheme="minorHAnsi"/>
          <w:color w:val="000000" w:themeColor="text1"/>
          <w:sz w:val="24"/>
          <w:szCs w:val="24"/>
        </w:rPr>
        <w:t>Polyarthrite</w:t>
      </w:r>
      <w:r w:rsidRPr="00362661">
        <w:rPr>
          <w:rFonts w:cstheme="minorHAnsi"/>
          <w:color w:val="000000" w:themeColor="text1"/>
          <w:sz w:val="24"/>
          <w:szCs w:val="24"/>
        </w:rPr>
        <w:t xml:space="preserve"> rhumatoïde ou le rhumatisme psoriasique.</w:t>
      </w:r>
    </w:p>
    <w:p w:rsidR="00362661" w:rsidRDefault="00FF2669" w:rsidP="00CE19DF">
      <w:pPr>
        <w:pStyle w:val="Paragraphedeliste"/>
        <w:numPr>
          <w:ilvl w:val="0"/>
          <w:numId w:val="37"/>
        </w:numPr>
        <w:jc w:val="both"/>
        <w:rPr>
          <w:rFonts w:cstheme="minorHAnsi"/>
          <w:color w:val="000000" w:themeColor="text1"/>
          <w:sz w:val="24"/>
          <w:szCs w:val="24"/>
        </w:rPr>
      </w:pPr>
      <w:r w:rsidRPr="00362661">
        <w:rPr>
          <w:rFonts w:cstheme="minorHAnsi"/>
          <w:color w:val="000000" w:themeColor="text1"/>
          <w:sz w:val="24"/>
          <w:szCs w:val="24"/>
        </w:rPr>
        <w:t>Infections graves.</w:t>
      </w:r>
    </w:p>
    <w:p w:rsidR="00362661" w:rsidRDefault="00FF2669" w:rsidP="00CE19DF">
      <w:pPr>
        <w:pStyle w:val="Paragraphedeliste"/>
        <w:numPr>
          <w:ilvl w:val="0"/>
          <w:numId w:val="37"/>
        </w:numPr>
        <w:jc w:val="both"/>
        <w:rPr>
          <w:rFonts w:cstheme="minorHAnsi"/>
          <w:color w:val="000000" w:themeColor="text1"/>
          <w:sz w:val="24"/>
          <w:szCs w:val="24"/>
        </w:rPr>
      </w:pPr>
      <w:r w:rsidRPr="00362661">
        <w:rPr>
          <w:rFonts w:cstheme="minorHAnsi"/>
          <w:color w:val="000000" w:themeColor="text1"/>
          <w:sz w:val="24"/>
          <w:szCs w:val="24"/>
        </w:rPr>
        <w:t>Insuffisance rénale modérée à s</w:t>
      </w:r>
      <w:r w:rsidR="00362661">
        <w:rPr>
          <w:rFonts w:cstheme="minorHAnsi"/>
          <w:color w:val="000000" w:themeColor="text1"/>
          <w:sz w:val="24"/>
          <w:szCs w:val="24"/>
        </w:rPr>
        <w:t>évère, hypo protéinémie sévère.</w:t>
      </w:r>
    </w:p>
    <w:p w:rsidR="00F86D43" w:rsidRDefault="00FF2669" w:rsidP="00CE19DF">
      <w:pPr>
        <w:pStyle w:val="Paragraphedeliste"/>
        <w:numPr>
          <w:ilvl w:val="0"/>
          <w:numId w:val="37"/>
        </w:numPr>
        <w:jc w:val="both"/>
        <w:rPr>
          <w:rFonts w:cstheme="minorHAnsi"/>
          <w:color w:val="000000" w:themeColor="text1"/>
          <w:sz w:val="24"/>
          <w:szCs w:val="24"/>
        </w:rPr>
      </w:pPr>
      <w:r w:rsidRPr="00362661">
        <w:rPr>
          <w:rFonts w:cstheme="minorHAnsi"/>
          <w:color w:val="000000" w:themeColor="text1"/>
          <w:sz w:val="24"/>
          <w:szCs w:val="24"/>
        </w:rPr>
        <w:t xml:space="preserve">Femmes enceintes ou en âge de procréer n'utilisant pas de méthode contraceptive fiable pendant le traitement par le </w:t>
      </w:r>
      <w:proofErr w:type="spellStart"/>
      <w:r w:rsidRPr="00362661">
        <w:rPr>
          <w:rFonts w:cstheme="minorHAnsi"/>
          <w:color w:val="000000" w:themeColor="text1"/>
          <w:sz w:val="24"/>
          <w:szCs w:val="24"/>
        </w:rPr>
        <w:t>léflunomide</w:t>
      </w:r>
      <w:proofErr w:type="spellEnd"/>
      <w:r w:rsidRPr="00362661">
        <w:rPr>
          <w:rFonts w:cstheme="minorHAnsi"/>
          <w:color w:val="000000" w:themeColor="text1"/>
          <w:sz w:val="24"/>
          <w:szCs w:val="24"/>
        </w:rPr>
        <w:t xml:space="preserve"> et aussi longtemps que les taux plasmatiques du métabolite actif du </w:t>
      </w:r>
      <w:proofErr w:type="spellStart"/>
      <w:r w:rsidRPr="00362661">
        <w:rPr>
          <w:rFonts w:cstheme="minorHAnsi"/>
          <w:color w:val="000000" w:themeColor="text1"/>
          <w:sz w:val="24"/>
          <w:szCs w:val="24"/>
        </w:rPr>
        <w:t>léflunomide</w:t>
      </w:r>
      <w:proofErr w:type="spellEnd"/>
      <w:r w:rsidRPr="00362661">
        <w:rPr>
          <w:rFonts w:cstheme="minorHAnsi"/>
          <w:color w:val="000000" w:themeColor="text1"/>
          <w:sz w:val="24"/>
          <w:szCs w:val="24"/>
        </w:rPr>
        <w:t xml:space="preserve"> sont supérieurs à 0,02 mg/l.</w:t>
      </w:r>
    </w:p>
    <w:p w:rsidR="00F86D43" w:rsidRPr="00F86D43" w:rsidRDefault="00FF2669" w:rsidP="00CE19DF">
      <w:pPr>
        <w:pStyle w:val="Paragraphedeliste"/>
        <w:numPr>
          <w:ilvl w:val="0"/>
          <w:numId w:val="37"/>
        </w:numPr>
        <w:jc w:val="both"/>
        <w:rPr>
          <w:rFonts w:cstheme="minorHAnsi"/>
          <w:color w:val="7030A0"/>
          <w:sz w:val="24"/>
          <w:szCs w:val="24"/>
        </w:rPr>
      </w:pPr>
      <w:r w:rsidRPr="00F86D43">
        <w:rPr>
          <w:rFonts w:cstheme="minorHAnsi"/>
          <w:color w:val="000000" w:themeColor="text1"/>
          <w:sz w:val="24"/>
          <w:szCs w:val="24"/>
        </w:rPr>
        <w:t>Grossesse, femmes en cas d'allaitement.</w:t>
      </w:r>
    </w:p>
    <w:p w:rsidR="00FF2669" w:rsidRPr="00F86D43" w:rsidRDefault="00FF2669" w:rsidP="00CE19DF">
      <w:pPr>
        <w:pStyle w:val="Paragraphedeliste"/>
        <w:numPr>
          <w:ilvl w:val="0"/>
          <w:numId w:val="37"/>
        </w:numPr>
        <w:jc w:val="both"/>
        <w:rPr>
          <w:rFonts w:cstheme="minorHAnsi"/>
          <w:color w:val="7030A0"/>
          <w:sz w:val="24"/>
          <w:szCs w:val="24"/>
        </w:rPr>
      </w:pPr>
      <w:r w:rsidRPr="00F86D43">
        <w:rPr>
          <w:rFonts w:cstheme="minorHAnsi"/>
          <w:sz w:val="24"/>
          <w:szCs w:val="24"/>
        </w:rPr>
        <w:t xml:space="preserve">Hypersensibilité au </w:t>
      </w:r>
      <w:proofErr w:type="spellStart"/>
      <w:r w:rsidRPr="00F86D43">
        <w:rPr>
          <w:rFonts w:cstheme="minorHAnsi"/>
          <w:sz w:val="24"/>
          <w:szCs w:val="24"/>
        </w:rPr>
        <w:t>léflunomide</w:t>
      </w:r>
      <w:proofErr w:type="spellEnd"/>
      <w:r w:rsidRPr="00F86D43">
        <w:rPr>
          <w:rFonts w:cstheme="minorHAnsi"/>
          <w:sz w:val="24"/>
          <w:szCs w:val="24"/>
        </w:rPr>
        <w:t xml:space="preserve"> (notamment antécédent de syndrome de Stevens-Johnson, syndrome de Lyell ou érythème polymorphe) ou à l'un des excipients.</w:t>
      </w:r>
    </w:p>
    <w:p w:rsidR="00FF2669" w:rsidRPr="00F86D43" w:rsidRDefault="00FF2669" w:rsidP="00F86D43">
      <w:pPr>
        <w:jc w:val="both"/>
        <w:rPr>
          <w:rFonts w:cstheme="minorHAnsi"/>
          <w:sz w:val="28"/>
          <w:szCs w:val="24"/>
        </w:rPr>
      </w:pPr>
      <w:r w:rsidRPr="00F86D43">
        <w:rPr>
          <w:rFonts w:cstheme="minorHAnsi"/>
          <w:b/>
          <w:bCs/>
          <w:sz w:val="28"/>
          <w:szCs w:val="24"/>
        </w:rPr>
        <w:t>Effets secondaires</w:t>
      </w:r>
      <w:r w:rsidRPr="00F86D43">
        <w:rPr>
          <w:rFonts w:cstheme="minorHAnsi"/>
          <w:sz w:val="28"/>
          <w:szCs w:val="24"/>
        </w:rPr>
        <w:t> :</w:t>
      </w:r>
    </w:p>
    <w:p w:rsidR="00FF2669" w:rsidRPr="00277197" w:rsidRDefault="00FF2669" w:rsidP="00F86D43">
      <w:pPr>
        <w:jc w:val="both"/>
        <w:rPr>
          <w:rFonts w:cstheme="minorHAnsi"/>
          <w:color w:val="000000" w:themeColor="text1"/>
          <w:sz w:val="24"/>
          <w:szCs w:val="24"/>
        </w:rPr>
      </w:pPr>
      <w:r w:rsidRPr="00610146">
        <w:rPr>
          <w:rFonts w:cstheme="minorHAnsi"/>
          <w:bCs/>
          <w:color w:val="000000" w:themeColor="text1"/>
          <w:sz w:val="24"/>
          <w:szCs w:val="24"/>
        </w:rPr>
        <w:t>L’hypertension artérielle, les troubles gastro-intestinaux, la perte pondérale</w:t>
      </w:r>
      <w:r w:rsidRPr="00610146">
        <w:rPr>
          <w:rFonts w:cstheme="minorHAnsi"/>
          <w:color w:val="000000" w:themeColor="text1"/>
          <w:sz w:val="24"/>
          <w:szCs w:val="24"/>
        </w:rPr>
        <w:t xml:space="preserve">, les </w:t>
      </w:r>
      <w:r w:rsidRPr="00610146">
        <w:rPr>
          <w:rFonts w:cstheme="minorHAnsi"/>
          <w:bCs/>
          <w:color w:val="000000" w:themeColor="text1"/>
          <w:sz w:val="24"/>
          <w:szCs w:val="24"/>
        </w:rPr>
        <w:t>céphalées, les étourdissements</w:t>
      </w:r>
      <w:r w:rsidRPr="00610146">
        <w:rPr>
          <w:rFonts w:cstheme="minorHAnsi"/>
          <w:color w:val="000000" w:themeColor="text1"/>
          <w:sz w:val="24"/>
          <w:szCs w:val="24"/>
        </w:rPr>
        <w:t xml:space="preserve">, </w:t>
      </w:r>
      <w:r w:rsidRPr="00610146">
        <w:rPr>
          <w:rFonts w:cstheme="minorHAnsi"/>
          <w:bCs/>
          <w:color w:val="000000" w:themeColor="text1"/>
          <w:sz w:val="24"/>
          <w:szCs w:val="24"/>
        </w:rPr>
        <w:t>la paresthésie, l’asthénie</w:t>
      </w:r>
      <w:r w:rsidRPr="00610146">
        <w:rPr>
          <w:rFonts w:cstheme="minorHAnsi"/>
          <w:color w:val="000000" w:themeColor="text1"/>
          <w:sz w:val="24"/>
          <w:szCs w:val="24"/>
        </w:rPr>
        <w:t xml:space="preserve">, </w:t>
      </w:r>
      <w:r w:rsidRPr="00610146">
        <w:rPr>
          <w:rFonts w:cstheme="minorHAnsi"/>
          <w:bCs/>
          <w:color w:val="000000" w:themeColor="text1"/>
          <w:sz w:val="24"/>
          <w:szCs w:val="24"/>
        </w:rPr>
        <w:t>les troubles de l’appareil locomoteur</w:t>
      </w:r>
      <w:r w:rsidRPr="00610146">
        <w:rPr>
          <w:rFonts w:cstheme="minorHAnsi"/>
          <w:color w:val="000000" w:themeColor="text1"/>
          <w:sz w:val="24"/>
          <w:szCs w:val="24"/>
        </w:rPr>
        <w:t xml:space="preserve"> et </w:t>
      </w:r>
      <w:r w:rsidRPr="00610146">
        <w:rPr>
          <w:rFonts w:cstheme="minorHAnsi"/>
          <w:bCs/>
          <w:color w:val="000000" w:themeColor="text1"/>
          <w:sz w:val="24"/>
          <w:szCs w:val="24"/>
        </w:rPr>
        <w:t>les affections cutanées</w:t>
      </w:r>
      <w:r w:rsidRPr="00277197">
        <w:rPr>
          <w:rFonts w:cstheme="minorHAnsi"/>
          <w:color w:val="000000" w:themeColor="text1"/>
          <w:sz w:val="24"/>
          <w:szCs w:val="24"/>
        </w:rPr>
        <w:t xml:space="preserve"> comptent parmi les effets indésirables les plus fréquemment observés lors de la prise d’ARAVA. </w:t>
      </w:r>
    </w:p>
    <w:p w:rsidR="00FF2669" w:rsidRPr="00277197" w:rsidRDefault="00FF2669" w:rsidP="00F86D43">
      <w:pPr>
        <w:jc w:val="both"/>
        <w:rPr>
          <w:rFonts w:cstheme="minorHAnsi"/>
          <w:color w:val="000000" w:themeColor="text1"/>
          <w:sz w:val="24"/>
          <w:szCs w:val="24"/>
        </w:rPr>
      </w:pPr>
      <w:r w:rsidRPr="00277197">
        <w:rPr>
          <w:rFonts w:cstheme="minorHAnsi"/>
          <w:color w:val="000000" w:themeColor="text1"/>
          <w:sz w:val="24"/>
          <w:szCs w:val="24"/>
        </w:rPr>
        <w:t>Il peut se produire des cas de</w:t>
      </w:r>
      <w:r w:rsidRPr="00277197">
        <w:rPr>
          <w:rFonts w:cstheme="minorHAnsi"/>
          <w:b/>
          <w:bCs/>
          <w:color w:val="000000" w:themeColor="text1"/>
          <w:sz w:val="24"/>
          <w:szCs w:val="24"/>
        </w:rPr>
        <w:t xml:space="preserve"> leucopénie</w:t>
      </w:r>
      <w:r w:rsidRPr="00277197">
        <w:rPr>
          <w:rFonts w:cstheme="minorHAnsi"/>
          <w:color w:val="000000" w:themeColor="text1"/>
          <w:sz w:val="24"/>
          <w:szCs w:val="24"/>
        </w:rPr>
        <w:t xml:space="preserve"> et des </w:t>
      </w:r>
      <w:r w:rsidRPr="00277197">
        <w:rPr>
          <w:rFonts w:cstheme="minorHAnsi"/>
          <w:b/>
          <w:bCs/>
          <w:color w:val="000000" w:themeColor="text1"/>
          <w:sz w:val="24"/>
          <w:szCs w:val="24"/>
        </w:rPr>
        <w:t>réactions d’hypersensibilité</w:t>
      </w:r>
      <w:r w:rsidRPr="00277197">
        <w:rPr>
          <w:rFonts w:cstheme="minorHAnsi"/>
          <w:color w:val="000000" w:themeColor="text1"/>
          <w:sz w:val="24"/>
          <w:szCs w:val="24"/>
        </w:rPr>
        <w:t xml:space="preserve"> et on a rapporté des cas de syndrome de Stevens-Johnson ou de </w:t>
      </w:r>
      <w:proofErr w:type="spellStart"/>
      <w:r w:rsidRPr="00277197">
        <w:rPr>
          <w:rFonts w:cstheme="minorHAnsi"/>
          <w:color w:val="000000" w:themeColor="text1"/>
          <w:sz w:val="24"/>
          <w:szCs w:val="24"/>
        </w:rPr>
        <w:t>nécrolyse</w:t>
      </w:r>
      <w:proofErr w:type="spellEnd"/>
      <w:r w:rsidRPr="00277197">
        <w:rPr>
          <w:rFonts w:cstheme="minorHAnsi"/>
          <w:color w:val="000000" w:themeColor="text1"/>
          <w:sz w:val="24"/>
          <w:szCs w:val="24"/>
        </w:rPr>
        <w:t xml:space="preserve"> épidermique toxique et de syndrome DRESS. </w:t>
      </w:r>
    </w:p>
    <w:p w:rsidR="00FF2669" w:rsidRPr="00277197" w:rsidRDefault="00FF2669" w:rsidP="00F86D43">
      <w:pPr>
        <w:jc w:val="both"/>
        <w:rPr>
          <w:rFonts w:cstheme="minorHAnsi"/>
          <w:color w:val="000000" w:themeColor="text1"/>
          <w:sz w:val="24"/>
          <w:szCs w:val="24"/>
        </w:rPr>
      </w:pPr>
      <w:r w:rsidRPr="00277197">
        <w:rPr>
          <w:rFonts w:cstheme="minorHAnsi"/>
          <w:color w:val="000000" w:themeColor="text1"/>
          <w:sz w:val="24"/>
          <w:szCs w:val="24"/>
        </w:rPr>
        <w:t>Des effets</w:t>
      </w:r>
      <w:r w:rsidRPr="00277197">
        <w:rPr>
          <w:rFonts w:cstheme="minorHAnsi"/>
          <w:b/>
          <w:bCs/>
          <w:color w:val="000000" w:themeColor="text1"/>
          <w:sz w:val="24"/>
          <w:szCs w:val="24"/>
        </w:rPr>
        <w:t xml:space="preserve"> toxiques</w:t>
      </w:r>
      <w:r w:rsidRPr="00277197">
        <w:rPr>
          <w:rFonts w:cstheme="minorHAnsi"/>
          <w:color w:val="000000" w:themeColor="text1"/>
          <w:sz w:val="24"/>
          <w:szCs w:val="24"/>
        </w:rPr>
        <w:t xml:space="preserve"> d’ordre </w:t>
      </w:r>
      <w:r w:rsidRPr="00277197">
        <w:rPr>
          <w:rFonts w:cstheme="minorHAnsi"/>
          <w:b/>
          <w:bCs/>
          <w:color w:val="000000" w:themeColor="text1"/>
          <w:sz w:val="24"/>
          <w:szCs w:val="24"/>
        </w:rPr>
        <w:t>hépatique</w:t>
      </w:r>
      <w:r w:rsidRPr="00277197">
        <w:rPr>
          <w:rFonts w:cstheme="minorHAnsi"/>
          <w:color w:val="000000" w:themeColor="text1"/>
          <w:sz w:val="24"/>
          <w:szCs w:val="24"/>
        </w:rPr>
        <w:t xml:space="preserve"> ont été signalés chez des patients traités par ARAVA. Bien que ces effets </w:t>
      </w:r>
      <w:proofErr w:type="gramStart"/>
      <w:r w:rsidRPr="00277197">
        <w:rPr>
          <w:rFonts w:cstheme="minorHAnsi"/>
          <w:color w:val="000000" w:themeColor="text1"/>
          <w:sz w:val="24"/>
          <w:szCs w:val="24"/>
        </w:rPr>
        <w:t>étaient</w:t>
      </w:r>
      <w:proofErr w:type="gramEnd"/>
      <w:r w:rsidRPr="00277197">
        <w:rPr>
          <w:rFonts w:cstheme="minorHAnsi"/>
          <w:color w:val="000000" w:themeColor="text1"/>
          <w:sz w:val="24"/>
          <w:szCs w:val="24"/>
        </w:rPr>
        <w:t xml:space="preserve"> habituellement bénins et réversibles, on a observé des cas graves et potentiellement mortels d’</w:t>
      </w:r>
      <w:proofErr w:type="spellStart"/>
      <w:r w:rsidRPr="00277197">
        <w:rPr>
          <w:rFonts w:cstheme="minorHAnsi"/>
          <w:color w:val="000000" w:themeColor="text1"/>
          <w:sz w:val="24"/>
          <w:szCs w:val="24"/>
        </w:rPr>
        <w:t>hépatopathie</w:t>
      </w:r>
      <w:proofErr w:type="spellEnd"/>
      <w:r w:rsidRPr="00277197">
        <w:rPr>
          <w:rFonts w:cstheme="minorHAnsi"/>
          <w:color w:val="000000" w:themeColor="text1"/>
          <w:sz w:val="24"/>
          <w:szCs w:val="24"/>
        </w:rPr>
        <w:t xml:space="preserve">, notamment de </w:t>
      </w:r>
      <w:r w:rsidRPr="00277197">
        <w:rPr>
          <w:rFonts w:cstheme="minorHAnsi"/>
          <w:b/>
          <w:bCs/>
          <w:color w:val="000000" w:themeColor="text1"/>
          <w:sz w:val="24"/>
          <w:szCs w:val="24"/>
        </w:rPr>
        <w:t>nécrose hépatique aiguë</w:t>
      </w:r>
      <w:r w:rsidRPr="00277197">
        <w:rPr>
          <w:rFonts w:cstheme="minorHAnsi"/>
          <w:color w:val="000000" w:themeColor="text1"/>
          <w:sz w:val="24"/>
          <w:szCs w:val="24"/>
        </w:rPr>
        <w:t xml:space="preserve">. Des cas de </w:t>
      </w:r>
      <w:r w:rsidRPr="00277197">
        <w:rPr>
          <w:rFonts w:cstheme="minorHAnsi"/>
          <w:b/>
          <w:bCs/>
          <w:color w:val="000000" w:themeColor="text1"/>
          <w:sz w:val="24"/>
          <w:szCs w:val="24"/>
        </w:rPr>
        <w:t>pancréatite</w:t>
      </w:r>
      <w:r w:rsidRPr="00277197">
        <w:rPr>
          <w:rFonts w:cstheme="minorHAnsi"/>
          <w:color w:val="000000" w:themeColor="text1"/>
          <w:sz w:val="24"/>
          <w:szCs w:val="24"/>
        </w:rPr>
        <w:t xml:space="preserve">, </w:t>
      </w:r>
      <w:r w:rsidRPr="00277197">
        <w:rPr>
          <w:rFonts w:cstheme="minorHAnsi"/>
          <w:b/>
          <w:bCs/>
          <w:color w:val="000000" w:themeColor="text1"/>
          <w:sz w:val="24"/>
          <w:szCs w:val="24"/>
        </w:rPr>
        <w:t>de pneumopathie interstitielle et d’infection</w:t>
      </w:r>
      <w:r w:rsidRPr="00277197">
        <w:rPr>
          <w:rFonts w:cstheme="minorHAnsi"/>
          <w:color w:val="000000" w:themeColor="text1"/>
          <w:sz w:val="24"/>
          <w:szCs w:val="24"/>
        </w:rPr>
        <w:t xml:space="preserve">, notamment une septicémie mortelle, ont également été signalés </w:t>
      </w:r>
    </w:p>
    <w:p w:rsidR="00B83C14" w:rsidRDefault="00B83C14" w:rsidP="00F86D43">
      <w:pPr>
        <w:jc w:val="both"/>
        <w:rPr>
          <w:rFonts w:cstheme="minorHAnsi"/>
          <w:b/>
          <w:bCs/>
          <w:sz w:val="24"/>
          <w:szCs w:val="24"/>
        </w:rPr>
      </w:pPr>
    </w:p>
    <w:p w:rsidR="00F86D43" w:rsidRDefault="00FF2669" w:rsidP="00F86D43">
      <w:pPr>
        <w:jc w:val="both"/>
        <w:rPr>
          <w:rFonts w:cstheme="minorHAnsi"/>
          <w:color w:val="7030A0"/>
          <w:sz w:val="24"/>
          <w:szCs w:val="24"/>
        </w:rPr>
      </w:pPr>
      <w:r w:rsidRPr="00F86D43">
        <w:rPr>
          <w:rFonts w:cstheme="minorHAnsi"/>
          <w:b/>
          <w:bCs/>
          <w:sz w:val="24"/>
          <w:szCs w:val="24"/>
        </w:rPr>
        <w:lastRenderedPageBreak/>
        <w:t>Surveillance :</w:t>
      </w:r>
      <w:r w:rsidRPr="00277197">
        <w:rPr>
          <w:rFonts w:cstheme="minorHAnsi"/>
          <w:color w:val="7030A0"/>
          <w:sz w:val="24"/>
          <w:szCs w:val="24"/>
        </w:rPr>
        <w:t xml:space="preserve"> </w:t>
      </w:r>
    </w:p>
    <w:p w:rsidR="00F86D43" w:rsidRDefault="00FF2669" w:rsidP="00F86D43">
      <w:pPr>
        <w:jc w:val="both"/>
        <w:rPr>
          <w:rFonts w:cstheme="minorHAnsi"/>
          <w:sz w:val="24"/>
          <w:szCs w:val="24"/>
        </w:rPr>
      </w:pPr>
      <w:r w:rsidRPr="00277197">
        <w:rPr>
          <w:rFonts w:cstheme="minorHAnsi"/>
          <w:sz w:val="24"/>
          <w:szCs w:val="24"/>
        </w:rPr>
        <w:t>La</w:t>
      </w:r>
      <w:r w:rsidRPr="00277197">
        <w:rPr>
          <w:rFonts w:cstheme="minorHAnsi"/>
          <w:color w:val="7030A0"/>
          <w:sz w:val="24"/>
          <w:szCs w:val="24"/>
        </w:rPr>
        <w:t xml:space="preserve"> </w:t>
      </w:r>
      <w:r w:rsidRPr="00277197">
        <w:rPr>
          <w:rFonts w:cstheme="minorHAnsi"/>
          <w:sz w:val="24"/>
          <w:szCs w:val="24"/>
        </w:rPr>
        <w:t xml:space="preserve">tension artérielle doit être surveillée régulièrement ; </w:t>
      </w:r>
    </w:p>
    <w:p w:rsidR="00FF2669" w:rsidRDefault="00F86D43" w:rsidP="00F86D43">
      <w:pPr>
        <w:jc w:val="both"/>
        <w:rPr>
          <w:rFonts w:cstheme="minorHAnsi"/>
          <w:sz w:val="24"/>
          <w:szCs w:val="24"/>
        </w:rPr>
      </w:pPr>
      <w:r w:rsidRPr="00277197">
        <w:rPr>
          <w:rFonts w:cstheme="minorHAnsi"/>
          <w:sz w:val="24"/>
          <w:szCs w:val="24"/>
        </w:rPr>
        <w:t>L</w:t>
      </w:r>
      <w:r w:rsidR="00FF2669" w:rsidRPr="00277197">
        <w:rPr>
          <w:rFonts w:cstheme="minorHAnsi"/>
          <w:sz w:val="24"/>
          <w:szCs w:val="24"/>
        </w:rPr>
        <w:t>a</w:t>
      </w:r>
      <w:r>
        <w:rPr>
          <w:rFonts w:cstheme="minorHAnsi"/>
          <w:sz w:val="24"/>
          <w:szCs w:val="24"/>
        </w:rPr>
        <w:t xml:space="preserve"> </w:t>
      </w:r>
      <w:r w:rsidR="00FF2669" w:rsidRPr="00277197">
        <w:rPr>
          <w:rFonts w:cstheme="minorHAnsi"/>
          <w:sz w:val="24"/>
          <w:szCs w:val="24"/>
        </w:rPr>
        <w:t xml:space="preserve">surveillance biologique repose sur l’hémogramme avec numération des plaquettes et les transaminases, toutes les 2 semaines pendant les 6 premiers mois, puis toutes les 8 semaines. En cas d’effet secondaire sévère ou de désir de grossesse, il existe une procédure d’élimination accélérée du produit qui repose sur la </w:t>
      </w:r>
      <w:proofErr w:type="spellStart"/>
      <w:r w:rsidR="00FF2669" w:rsidRPr="00277197">
        <w:rPr>
          <w:rFonts w:cstheme="minorHAnsi"/>
          <w:sz w:val="24"/>
          <w:szCs w:val="24"/>
        </w:rPr>
        <w:t>colestyramine</w:t>
      </w:r>
      <w:proofErr w:type="spellEnd"/>
      <w:r w:rsidR="00FF2669" w:rsidRPr="00277197">
        <w:rPr>
          <w:rFonts w:cstheme="minorHAnsi"/>
          <w:sz w:val="24"/>
          <w:szCs w:val="24"/>
        </w:rPr>
        <w:t xml:space="preserve"> (8 g 3 fois par jour) ou sur le charbon activé en poudre (50 g 4 fois par jour) pendant 11 jours consécutifs.</w:t>
      </w:r>
    </w:p>
    <w:p w:rsidR="00CE3E91" w:rsidRPr="004D1E41" w:rsidRDefault="00CE3E91" w:rsidP="00F86D43">
      <w:pPr>
        <w:jc w:val="both"/>
        <w:rPr>
          <w:rFonts w:cstheme="minorHAnsi"/>
          <w:color w:val="FF0000"/>
          <w:sz w:val="28"/>
          <w:szCs w:val="24"/>
        </w:rPr>
      </w:pPr>
      <w:r w:rsidRPr="004D1E41">
        <w:rPr>
          <w:rFonts w:cstheme="minorHAnsi"/>
          <w:b/>
          <w:bCs/>
          <w:sz w:val="28"/>
          <w:szCs w:val="24"/>
        </w:rPr>
        <w:t>d-</w:t>
      </w:r>
      <w:proofErr w:type="spellStart"/>
      <w:r w:rsidR="00F86D43" w:rsidRPr="004D1E41">
        <w:rPr>
          <w:rFonts w:cstheme="minorHAnsi"/>
          <w:b/>
          <w:bCs/>
          <w:sz w:val="28"/>
          <w:szCs w:val="24"/>
        </w:rPr>
        <w:t>Salazopyrine</w:t>
      </w:r>
      <w:proofErr w:type="spellEnd"/>
      <w:r w:rsidR="00F86D43" w:rsidRPr="004D1E41">
        <w:rPr>
          <w:rFonts w:cstheme="minorHAnsi"/>
          <w:b/>
          <w:bCs/>
          <w:sz w:val="28"/>
          <w:szCs w:val="24"/>
        </w:rPr>
        <w:t xml:space="preserve"> </w:t>
      </w:r>
      <w:proofErr w:type="gramStart"/>
      <w:r w:rsidR="00F86D43" w:rsidRPr="004D1E41">
        <w:rPr>
          <w:rFonts w:cstheme="minorHAnsi"/>
          <w:b/>
          <w:bCs/>
          <w:sz w:val="28"/>
          <w:szCs w:val="24"/>
        </w:rPr>
        <w:t xml:space="preserve">( </w:t>
      </w:r>
      <w:proofErr w:type="spellStart"/>
      <w:r w:rsidR="00F86D43" w:rsidRPr="004D1E41">
        <w:rPr>
          <w:rFonts w:cstheme="minorHAnsi"/>
          <w:b/>
          <w:bCs/>
          <w:sz w:val="28"/>
          <w:szCs w:val="24"/>
        </w:rPr>
        <w:t>Sulfasalazine</w:t>
      </w:r>
      <w:proofErr w:type="spellEnd"/>
      <w:proofErr w:type="gramEnd"/>
      <w:r w:rsidR="00F86D43" w:rsidRPr="004D1E41">
        <w:rPr>
          <w:rFonts w:cstheme="minorHAnsi"/>
          <w:b/>
          <w:bCs/>
          <w:sz w:val="28"/>
          <w:szCs w:val="24"/>
        </w:rPr>
        <w:t xml:space="preserve">) : </w:t>
      </w:r>
    </w:p>
    <w:p w:rsidR="00CE3E91" w:rsidRPr="00277197" w:rsidRDefault="00CE3E91" w:rsidP="00F86D43">
      <w:pPr>
        <w:jc w:val="both"/>
        <w:rPr>
          <w:rFonts w:cstheme="minorHAnsi"/>
          <w:b/>
          <w:bCs/>
          <w:color w:val="7030A0"/>
          <w:sz w:val="24"/>
          <w:szCs w:val="24"/>
        </w:rPr>
      </w:pPr>
      <w:r w:rsidRPr="00277197">
        <w:rPr>
          <w:rFonts w:cstheme="minorHAnsi"/>
          <w:color w:val="000000" w:themeColor="text1"/>
          <w:sz w:val="24"/>
          <w:szCs w:val="24"/>
        </w:rPr>
        <w:t xml:space="preserve">Elle est composée de l’association d’un dérivé salicylé (acide 5- </w:t>
      </w:r>
      <w:proofErr w:type="spellStart"/>
      <w:r w:rsidRPr="00277197">
        <w:rPr>
          <w:rFonts w:cstheme="minorHAnsi"/>
          <w:color w:val="000000" w:themeColor="text1"/>
          <w:sz w:val="24"/>
          <w:szCs w:val="24"/>
        </w:rPr>
        <w:t>aminosalicylique</w:t>
      </w:r>
      <w:proofErr w:type="spellEnd"/>
      <w:r w:rsidRPr="00277197">
        <w:rPr>
          <w:rFonts w:cstheme="minorHAnsi"/>
          <w:color w:val="000000" w:themeColor="text1"/>
          <w:sz w:val="24"/>
          <w:szCs w:val="24"/>
        </w:rPr>
        <w:t xml:space="preserve"> ou 5- ASA) et d’un sulfamide (</w:t>
      </w:r>
      <w:proofErr w:type="spellStart"/>
      <w:r w:rsidRPr="00277197">
        <w:rPr>
          <w:rFonts w:cstheme="minorHAnsi"/>
          <w:color w:val="000000" w:themeColor="text1"/>
          <w:sz w:val="24"/>
          <w:szCs w:val="24"/>
        </w:rPr>
        <w:t>sulfapyridine</w:t>
      </w:r>
      <w:proofErr w:type="spellEnd"/>
      <w:r w:rsidRPr="00277197">
        <w:rPr>
          <w:rFonts w:cstheme="minorHAnsi"/>
          <w:color w:val="000000" w:themeColor="text1"/>
          <w:sz w:val="24"/>
          <w:szCs w:val="24"/>
        </w:rPr>
        <w:t xml:space="preserve">). Ces composants sont clivés dans le côlon ; le 5-A SA est éliminé principalement dans les fèces ; la </w:t>
      </w:r>
      <w:proofErr w:type="spellStart"/>
      <w:r w:rsidRPr="00277197">
        <w:rPr>
          <w:rFonts w:cstheme="minorHAnsi"/>
          <w:color w:val="000000" w:themeColor="text1"/>
          <w:sz w:val="24"/>
          <w:szCs w:val="24"/>
        </w:rPr>
        <w:t>sulfapyridine</w:t>
      </w:r>
      <w:proofErr w:type="spellEnd"/>
      <w:r w:rsidRPr="00277197">
        <w:rPr>
          <w:rFonts w:cstheme="minorHAnsi"/>
          <w:color w:val="000000" w:themeColor="text1"/>
          <w:sz w:val="24"/>
          <w:szCs w:val="24"/>
        </w:rPr>
        <w:t xml:space="preserve"> est absorbée, métabolisée dans le foie et éliminée dans les urines. Le mécanisme d’action est mal connu ; des effets anti- inflammatoires (inhibition des prostaglandines et </w:t>
      </w:r>
      <w:proofErr w:type="spellStart"/>
      <w:r w:rsidRPr="00277197">
        <w:rPr>
          <w:rFonts w:cstheme="minorHAnsi"/>
          <w:color w:val="000000" w:themeColor="text1"/>
          <w:sz w:val="24"/>
          <w:szCs w:val="24"/>
        </w:rPr>
        <w:t>leucotriènes</w:t>
      </w:r>
      <w:proofErr w:type="spellEnd"/>
      <w:r w:rsidRPr="00277197">
        <w:rPr>
          <w:rFonts w:cstheme="minorHAnsi"/>
          <w:color w:val="000000" w:themeColor="text1"/>
          <w:sz w:val="24"/>
          <w:szCs w:val="24"/>
        </w:rPr>
        <w:t xml:space="preserve">), antimicrobiens et peut-être </w:t>
      </w:r>
      <w:proofErr w:type="spellStart"/>
      <w:r w:rsidRPr="00277197">
        <w:rPr>
          <w:rFonts w:cstheme="minorHAnsi"/>
          <w:color w:val="000000" w:themeColor="text1"/>
          <w:sz w:val="24"/>
          <w:szCs w:val="24"/>
        </w:rPr>
        <w:t>immuno</w:t>
      </w:r>
      <w:proofErr w:type="spellEnd"/>
      <w:r w:rsidRPr="00277197">
        <w:rPr>
          <w:rFonts w:cstheme="minorHAnsi"/>
          <w:color w:val="000000" w:themeColor="text1"/>
          <w:sz w:val="24"/>
          <w:szCs w:val="24"/>
        </w:rPr>
        <w:t>- modulateurs ont été avancés. Le nombre de patients répondeurs semble de l’ordre de 50-60 %, avec une efficacité obtenue au 3e mois. Le taux de maintenance thérapeutique est d’environ 20 % à 5 ans.</w:t>
      </w:r>
    </w:p>
    <w:p w:rsidR="00F86D43" w:rsidRDefault="00CE3E91" w:rsidP="00CE3E91">
      <w:pPr>
        <w:rPr>
          <w:rFonts w:cstheme="minorHAnsi"/>
          <w:sz w:val="24"/>
          <w:szCs w:val="24"/>
        </w:rPr>
      </w:pPr>
      <w:r w:rsidRPr="00277197">
        <w:rPr>
          <w:rFonts w:cstheme="minorHAnsi"/>
          <w:b/>
          <w:bCs/>
          <w:color w:val="7030A0"/>
          <w:sz w:val="24"/>
          <w:szCs w:val="24"/>
        </w:rPr>
        <w:t xml:space="preserve"> </w:t>
      </w:r>
      <w:r w:rsidRPr="00F86D43">
        <w:rPr>
          <w:rFonts w:cstheme="minorHAnsi"/>
          <w:b/>
          <w:bCs/>
          <w:sz w:val="24"/>
          <w:szCs w:val="24"/>
        </w:rPr>
        <w:t>Forme et posologie :</w:t>
      </w:r>
      <w:r w:rsidRPr="00277197">
        <w:rPr>
          <w:rFonts w:cstheme="minorHAnsi"/>
          <w:sz w:val="24"/>
          <w:szCs w:val="24"/>
        </w:rPr>
        <w:t xml:space="preserve"> </w:t>
      </w:r>
    </w:p>
    <w:p w:rsidR="00CE3E91" w:rsidRPr="00D82FE4" w:rsidRDefault="00CE3E91" w:rsidP="00F86D43">
      <w:pPr>
        <w:jc w:val="both"/>
        <w:rPr>
          <w:rFonts w:cstheme="minorHAnsi"/>
          <w:b/>
          <w:bCs/>
          <w:color w:val="7030A0"/>
          <w:sz w:val="24"/>
          <w:szCs w:val="24"/>
        </w:rPr>
      </w:pPr>
      <w:r w:rsidRPr="00277197">
        <w:rPr>
          <w:rFonts w:cstheme="minorHAnsi"/>
          <w:color w:val="000000" w:themeColor="text1"/>
          <w:sz w:val="24"/>
          <w:szCs w:val="24"/>
        </w:rPr>
        <w:t>La posologie recommandée est progressive : 1 comprimé à 500mg par jour pendant 1 semaine, 2 comprimés par jour la 2ème semaine, 3 comprimés par jour la 3e semaine, 4 comprimés (2g) par jour ensuite. Il est possible d’augmenter la posologie jusqu’à 6 comprimés par jour. La posologie doit être diminuée en cas d’insuffisance rénale ou hépatique.</w:t>
      </w:r>
    </w:p>
    <w:p w:rsidR="00CE3E91" w:rsidRPr="00F86D43" w:rsidRDefault="00971F72" w:rsidP="00CE3E91">
      <w:pPr>
        <w:rPr>
          <w:rFonts w:cstheme="minorHAnsi"/>
          <w:sz w:val="24"/>
          <w:szCs w:val="24"/>
        </w:rPr>
      </w:pPr>
      <w:r w:rsidRPr="00F86D43">
        <w:rPr>
          <w:rFonts w:cstheme="minorHAnsi"/>
          <w:b/>
          <w:bCs/>
          <w:sz w:val="24"/>
          <w:szCs w:val="24"/>
        </w:rPr>
        <w:t>Contre-indication</w:t>
      </w:r>
      <w:r>
        <w:rPr>
          <w:rFonts w:cstheme="minorHAnsi"/>
          <w:b/>
          <w:bCs/>
          <w:sz w:val="24"/>
          <w:szCs w:val="24"/>
        </w:rPr>
        <w:t>s</w:t>
      </w:r>
      <w:r w:rsidR="00CE3E91" w:rsidRPr="00F86D43">
        <w:rPr>
          <w:rFonts w:cstheme="minorHAnsi"/>
          <w:b/>
          <w:bCs/>
          <w:sz w:val="24"/>
          <w:szCs w:val="24"/>
        </w:rPr>
        <w:t> :</w:t>
      </w:r>
    </w:p>
    <w:p w:rsidR="00F86D43" w:rsidRDefault="00CE3E91" w:rsidP="00CE19DF">
      <w:pPr>
        <w:pStyle w:val="Paragraphedeliste"/>
        <w:numPr>
          <w:ilvl w:val="0"/>
          <w:numId w:val="38"/>
        </w:numPr>
        <w:rPr>
          <w:rFonts w:cstheme="minorHAnsi"/>
          <w:color w:val="000000" w:themeColor="text1"/>
          <w:sz w:val="24"/>
          <w:szCs w:val="24"/>
        </w:rPr>
      </w:pPr>
      <w:r w:rsidRPr="00F86D43">
        <w:rPr>
          <w:rFonts w:cstheme="minorHAnsi"/>
          <w:color w:val="000000" w:themeColor="text1"/>
          <w:sz w:val="24"/>
          <w:szCs w:val="24"/>
        </w:rPr>
        <w:t>Hypersensibilité connue aux sulfamides et aux salicylés.</w:t>
      </w:r>
    </w:p>
    <w:p w:rsidR="00F86D43" w:rsidRDefault="00CE3E91" w:rsidP="00CE19DF">
      <w:pPr>
        <w:pStyle w:val="Paragraphedeliste"/>
        <w:numPr>
          <w:ilvl w:val="0"/>
          <w:numId w:val="38"/>
        </w:numPr>
        <w:rPr>
          <w:rFonts w:cstheme="minorHAnsi"/>
          <w:color w:val="000000" w:themeColor="text1"/>
          <w:sz w:val="24"/>
          <w:szCs w:val="24"/>
        </w:rPr>
      </w:pPr>
      <w:r w:rsidRPr="00F86D43">
        <w:rPr>
          <w:rFonts w:cstheme="minorHAnsi"/>
          <w:color w:val="000000" w:themeColor="text1"/>
          <w:sz w:val="24"/>
          <w:szCs w:val="24"/>
        </w:rPr>
        <w:t>Hypersensibilité connue à l’un des composants Déficit en G6PD : risque de déclenchement d’hémolyse.</w:t>
      </w:r>
    </w:p>
    <w:p w:rsidR="00F86D43" w:rsidRDefault="00CE3E91" w:rsidP="00CE19DF">
      <w:pPr>
        <w:pStyle w:val="Paragraphedeliste"/>
        <w:numPr>
          <w:ilvl w:val="0"/>
          <w:numId w:val="38"/>
        </w:numPr>
        <w:rPr>
          <w:rFonts w:cstheme="minorHAnsi"/>
          <w:color w:val="000000" w:themeColor="text1"/>
          <w:sz w:val="24"/>
          <w:szCs w:val="24"/>
        </w:rPr>
      </w:pPr>
      <w:r w:rsidRPr="00F86D43">
        <w:rPr>
          <w:rFonts w:cstheme="minorHAnsi"/>
          <w:color w:val="000000" w:themeColor="text1"/>
          <w:sz w:val="24"/>
          <w:szCs w:val="24"/>
        </w:rPr>
        <w:t>Prématurés et nouveau-nés en raison de l’immaturité de leurs systèmes enzymatiques.</w:t>
      </w:r>
    </w:p>
    <w:p w:rsidR="00CE3E91" w:rsidRPr="00F86D43" w:rsidRDefault="00CE3E91" w:rsidP="00CE19DF">
      <w:pPr>
        <w:pStyle w:val="Paragraphedeliste"/>
        <w:numPr>
          <w:ilvl w:val="0"/>
          <w:numId w:val="38"/>
        </w:numPr>
        <w:rPr>
          <w:rFonts w:cstheme="minorHAnsi"/>
          <w:color w:val="000000" w:themeColor="text1"/>
          <w:sz w:val="24"/>
          <w:szCs w:val="24"/>
        </w:rPr>
      </w:pPr>
      <w:r w:rsidRPr="00F86D43">
        <w:rPr>
          <w:rFonts w:cstheme="minorHAnsi"/>
          <w:color w:val="000000" w:themeColor="text1"/>
          <w:sz w:val="24"/>
          <w:szCs w:val="24"/>
        </w:rPr>
        <w:t xml:space="preserve">Porphyrie intermittente aiguë et porphyrie </w:t>
      </w:r>
      <w:proofErr w:type="spellStart"/>
      <w:r w:rsidRPr="00F86D43">
        <w:rPr>
          <w:rFonts w:cstheme="minorHAnsi"/>
          <w:color w:val="000000" w:themeColor="text1"/>
          <w:sz w:val="24"/>
          <w:szCs w:val="24"/>
        </w:rPr>
        <w:t>variegata</w:t>
      </w:r>
      <w:proofErr w:type="spellEnd"/>
      <w:r w:rsidRPr="00F86D43">
        <w:rPr>
          <w:rFonts w:cstheme="minorHAnsi"/>
          <w:color w:val="000000" w:themeColor="text1"/>
          <w:sz w:val="24"/>
          <w:szCs w:val="24"/>
        </w:rPr>
        <w:t>.</w:t>
      </w:r>
    </w:p>
    <w:p w:rsidR="00F86D43" w:rsidRDefault="00CE3E91" w:rsidP="00CE3E91">
      <w:pPr>
        <w:rPr>
          <w:rFonts w:cstheme="minorHAnsi"/>
          <w:b/>
          <w:bCs/>
          <w:sz w:val="24"/>
          <w:szCs w:val="24"/>
        </w:rPr>
      </w:pPr>
      <w:r w:rsidRPr="00F86D43">
        <w:rPr>
          <w:rFonts w:cstheme="minorHAnsi"/>
          <w:b/>
          <w:bCs/>
          <w:sz w:val="24"/>
          <w:szCs w:val="24"/>
        </w:rPr>
        <w:t>Effets secondaires :</w:t>
      </w:r>
    </w:p>
    <w:p w:rsidR="00F86D43" w:rsidRDefault="00CE3E91" w:rsidP="00CE19DF">
      <w:pPr>
        <w:pStyle w:val="Paragraphedeliste"/>
        <w:numPr>
          <w:ilvl w:val="0"/>
          <w:numId w:val="39"/>
        </w:numPr>
        <w:jc w:val="both"/>
        <w:rPr>
          <w:rFonts w:cstheme="minorHAnsi"/>
          <w:color w:val="000000" w:themeColor="text1"/>
          <w:sz w:val="24"/>
          <w:szCs w:val="24"/>
        </w:rPr>
      </w:pPr>
      <w:r w:rsidRPr="00F86D43">
        <w:rPr>
          <w:rFonts w:cstheme="minorHAnsi"/>
          <w:color w:val="000000" w:themeColor="text1"/>
          <w:sz w:val="24"/>
          <w:szCs w:val="24"/>
        </w:rPr>
        <w:t xml:space="preserve">Digestifs (les plus fréquents) : </w:t>
      </w:r>
      <w:r w:rsidRPr="00F86D43">
        <w:rPr>
          <w:rFonts w:cstheme="minorHAnsi"/>
          <w:b/>
          <w:bCs/>
          <w:color w:val="000000" w:themeColor="text1"/>
          <w:sz w:val="24"/>
          <w:szCs w:val="24"/>
        </w:rPr>
        <w:t>douleurs abdominales, nausées, vomissements, diarrhées</w:t>
      </w:r>
      <w:r w:rsidRPr="00F86D43">
        <w:rPr>
          <w:rFonts w:cstheme="minorHAnsi"/>
          <w:color w:val="000000" w:themeColor="text1"/>
          <w:sz w:val="24"/>
          <w:szCs w:val="24"/>
        </w:rPr>
        <w:t xml:space="preserve"> </w:t>
      </w:r>
    </w:p>
    <w:p w:rsidR="00F86D43" w:rsidRDefault="00CE3E91" w:rsidP="00CE19DF">
      <w:pPr>
        <w:pStyle w:val="Paragraphedeliste"/>
        <w:numPr>
          <w:ilvl w:val="0"/>
          <w:numId w:val="39"/>
        </w:numPr>
        <w:jc w:val="both"/>
        <w:rPr>
          <w:rFonts w:cstheme="minorHAnsi"/>
          <w:color w:val="000000" w:themeColor="text1"/>
          <w:sz w:val="24"/>
          <w:szCs w:val="24"/>
        </w:rPr>
      </w:pPr>
      <w:r w:rsidRPr="00F86D43">
        <w:rPr>
          <w:rFonts w:cstheme="minorHAnsi"/>
          <w:color w:val="000000" w:themeColor="text1"/>
          <w:sz w:val="24"/>
          <w:szCs w:val="24"/>
        </w:rPr>
        <w:t xml:space="preserve">Cutanés ou muqueux : </w:t>
      </w:r>
      <w:r w:rsidRPr="00F86D43">
        <w:rPr>
          <w:rFonts w:cstheme="minorHAnsi"/>
          <w:b/>
          <w:bCs/>
          <w:color w:val="000000" w:themeColor="text1"/>
          <w:sz w:val="24"/>
          <w:szCs w:val="24"/>
        </w:rPr>
        <w:t>éruptions, prurit</w:t>
      </w:r>
      <w:r w:rsidRPr="00F86D43">
        <w:rPr>
          <w:rFonts w:cstheme="minorHAnsi"/>
          <w:color w:val="000000" w:themeColor="text1"/>
          <w:sz w:val="24"/>
          <w:szCs w:val="24"/>
        </w:rPr>
        <w:t xml:space="preserve">, syndrome de Lyell (rare), syndrome DRESS et autres toxidermies, aphtes, glossite </w:t>
      </w:r>
    </w:p>
    <w:p w:rsidR="00F86D43" w:rsidRDefault="00CE3E91" w:rsidP="00CE19DF">
      <w:pPr>
        <w:pStyle w:val="Paragraphedeliste"/>
        <w:numPr>
          <w:ilvl w:val="0"/>
          <w:numId w:val="39"/>
        </w:numPr>
        <w:jc w:val="both"/>
        <w:rPr>
          <w:rFonts w:cstheme="minorHAnsi"/>
          <w:color w:val="000000" w:themeColor="text1"/>
          <w:sz w:val="24"/>
          <w:szCs w:val="24"/>
        </w:rPr>
      </w:pPr>
      <w:r w:rsidRPr="00F86D43">
        <w:rPr>
          <w:rFonts w:cstheme="minorHAnsi"/>
          <w:color w:val="000000" w:themeColor="text1"/>
          <w:sz w:val="24"/>
          <w:szCs w:val="24"/>
        </w:rPr>
        <w:t xml:space="preserve">Hématologiques : </w:t>
      </w:r>
      <w:r w:rsidRPr="00F86D43">
        <w:rPr>
          <w:rFonts w:cstheme="minorHAnsi"/>
          <w:b/>
          <w:bCs/>
          <w:color w:val="000000" w:themeColor="text1"/>
          <w:sz w:val="24"/>
          <w:szCs w:val="24"/>
        </w:rPr>
        <w:t>leucopénie</w:t>
      </w:r>
      <w:r w:rsidRPr="00F86D43">
        <w:rPr>
          <w:rFonts w:cstheme="minorHAnsi"/>
          <w:color w:val="000000" w:themeColor="text1"/>
          <w:sz w:val="24"/>
          <w:szCs w:val="24"/>
        </w:rPr>
        <w:t xml:space="preserve">, voire agranulocytose (rare), </w:t>
      </w:r>
      <w:proofErr w:type="spellStart"/>
      <w:r w:rsidRPr="00F86D43">
        <w:rPr>
          <w:rFonts w:cstheme="minorHAnsi"/>
          <w:color w:val="000000" w:themeColor="text1"/>
          <w:sz w:val="24"/>
          <w:szCs w:val="24"/>
        </w:rPr>
        <w:t>macrocytose</w:t>
      </w:r>
      <w:proofErr w:type="spellEnd"/>
      <w:r w:rsidRPr="00F86D43">
        <w:rPr>
          <w:rFonts w:cstheme="minorHAnsi"/>
          <w:color w:val="000000" w:themeColor="text1"/>
          <w:sz w:val="24"/>
          <w:szCs w:val="24"/>
        </w:rPr>
        <w:t xml:space="preserve">, </w:t>
      </w:r>
      <w:r w:rsidRPr="00F86D43">
        <w:rPr>
          <w:rFonts w:cstheme="minorHAnsi"/>
          <w:b/>
          <w:bCs/>
          <w:color w:val="000000" w:themeColor="text1"/>
          <w:sz w:val="24"/>
          <w:szCs w:val="24"/>
        </w:rPr>
        <w:t>anémie hémolytique,</w:t>
      </w:r>
      <w:r w:rsidRPr="00F86D43">
        <w:rPr>
          <w:rFonts w:cstheme="minorHAnsi"/>
          <w:color w:val="000000" w:themeColor="text1"/>
          <w:sz w:val="24"/>
          <w:szCs w:val="24"/>
        </w:rPr>
        <w:t xml:space="preserve"> </w:t>
      </w:r>
      <w:r w:rsidRPr="00F86D43">
        <w:rPr>
          <w:rFonts w:cstheme="minorHAnsi"/>
          <w:b/>
          <w:bCs/>
          <w:color w:val="000000" w:themeColor="text1"/>
          <w:sz w:val="24"/>
          <w:szCs w:val="24"/>
        </w:rPr>
        <w:t>méthémoglobinémie (déficit en G-6 -P D)</w:t>
      </w:r>
      <w:r w:rsidRPr="00F86D43">
        <w:rPr>
          <w:rFonts w:cstheme="minorHAnsi"/>
          <w:color w:val="000000" w:themeColor="text1"/>
          <w:sz w:val="24"/>
          <w:szCs w:val="24"/>
        </w:rPr>
        <w:t xml:space="preserve"> </w:t>
      </w:r>
    </w:p>
    <w:p w:rsidR="00F86D43" w:rsidRDefault="00CE3E91" w:rsidP="00CE19DF">
      <w:pPr>
        <w:pStyle w:val="Paragraphedeliste"/>
        <w:numPr>
          <w:ilvl w:val="0"/>
          <w:numId w:val="39"/>
        </w:numPr>
        <w:jc w:val="both"/>
        <w:rPr>
          <w:rFonts w:cstheme="minorHAnsi"/>
          <w:color w:val="000000" w:themeColor="text1"/>
          <w:sz w:val="24"/>
          <w:szCs w:val="24"/>
        </w:rPr>
      </w:pPr>
      <w:r w:rsidRPr="00F86D43">
        <w:rPr>
          <w:rFonts w:cstheme="minorHAnsi"/>
          <w:color w:val="000000" w:themeColor="text1"/>
          <w:sz w:val="24"/>
          <w:szCs w:val="24"/>
        </w:rPr>
        <w:t xml:space="preserve">Hépatiques : </w:t>
      </w:r>
      <w:r w:rsidRPr="00F86D43">
        <w:rPr>
          <w:rFonts w:cstheme="minorHAnsi"/>
          <w:b/>
          <w:bCs/>
          <w:color w:val="000000" w:themeColor="text1"/>
          <w:sz w:val="24"/>
          <w:szCs w:val="24"/>
        </w:rPr>
        <w:t>cholestase, cytolyse</w:t>
      </w:r>
      <w:r w:rsidRPr="00F86D43">
        <w:rPr>
          <w:rFonts w:cstheme="minorHAnsi"/>
          <w:color w:val="000000" w:themeColor="text1"/>
          <w:sz w:val="24"/>
          <w:szCs w:val="24"/>
        </w:rPr>
        <w:t>, exceptionnelles hépatites fulminantes</w:t>
      </w:r>
    </w:p>
    <w:p w:rsidR="00F86D43" w:rsidRDefault="00CE3E91" w:rsidP="00CE19DF">
      <w:pPr>
        <w:pStyle w:val="Paragraphedeliste"/>
        <w:numPr>
          <w:ilvl w:val="0"/>
          <w:numId w:val="39"/>
        </w:numPr>
        <w:jc w:val="both"/>
        <w:rPr>
          <w:rFonts w:cstheme="minorHAnsi"/>
          <w:color w:val="000000" w:themeColor="text1"/>
          <w:sz w:val="24"/>
          <w:szCs w:val="24"/>
        </w:rPr>
      </w:pPr>
      <w:r w:rsidRPr="00F86D43">
        <w:rPr>
          <w:rFonts w:cstheme="minorHAnsi"/>
          <w:color w:val="000000" w:themeColor="text1"/>
          <w:sz w:val="24"/>
          <w:szCs w:val="24"/>
        </w:rPr>
        <w:t>Neurosensoriels </w:t>
      </w:r>
      <w:r w:rsidRPr="00F86D43">
        <w:rPr>
          <w:rFonts w:cstheme="minorHAnsi"/>
          <w:b/>
          <w:bCs/>
          <w:color w:val="000000" w:themeColor="text1"/>
          <w:sz w:val="24"/>
          <w:szCs w:val="24"/>
        </w:rPr>
        <w:t>: céphalées, vertiges</w:t>
      </w:r>
      <w:r w:rsidRPr="00F86D43">
        <w:rPr>
          <w:rFonts w:cstheme="minorHAnsi"/>
          <w:color w:val="000000" w:themeColor="text1"/>
          <w:sz w:val="24"/>
          <w:szCs w:val="24"/>
        </w:rPr>
        <w:t xml:space="preserve">, méningite aseptique (rare) </w:t>
      </w:r>
    </w:p>
    <w:p w:rsidR="00F86D43" w:rsidRPr="00F86D43" w:rsidRDefault="00CE3E91" w:rsidP="00CE19DF">
      <w:pPr>
        <w:pStyle w:val="Paragraphedeliste"/>
        <w:numPr>
          <w:ilvl w:val="0"/>
          <w:numId w:val="39"/>
        </w:numPr>
        <w:jc w:val="both"/>
        <w:rPr>
          <w:rFonts w:cstheme="minorHAnsi"/>
          <w:color w:val="7030A0"/>
          <w:sz w:val="24"/>
          <w:szCs w:val="24"/>
        </w:rPr>
      </w:pPr>
      <w:r w:rsidRPr="00F86D43">
        <w:rPr>
          <w:rFonts w:cstheme="minorHAnsi"/>
          <w:color w:val="000000" w:themeColor="text1"/>
          <w:sz w:val="24"/>
          <w:szCs w:val="24"/>
        </w:rPr>
        <w:t xml:space="preserve">Oligospermie réversible </w:t>
      </w:r>
    </w:p>
    <w:p w:rsidR="00CE3E91" w:rsidRPr="00F86D43" w:rsidRDefault="00CE3E91" w:rsidP="00CE19DF">
      <w:pPr>
        <w:pStyle w:val="Paragraphedeliste"/>
        <w:numPr>
          <w:ilvl w:val="0"/>
          <w:numId w:val="39"/>
        </w:numPr>
        <w:jc w:val="both"/>
        <w:rPr>
          <w:rFonts w:cstheme="minorHAnsi"/>
          <w:color w:val="7030A0"/>
          <w:sz w:val="24"/>
          <w:szCs w:val="24"/>
        </w:rPr>
      </w:pPr>
      <w:r w:rsidRPr="00F86D43">
        <w:rPr>
          <w:rFonts w:cstheme="minorHAnsi"/>
          <w:color w:val="000000" w:themeColor="text1"/>
          <w:sz w:val="24"/>
          <w:szCs w:val="24"/>
        </w:rPr>
        <w:t>Induction d’auto-anticorps lupus induit (rare)</w:t>
      </w:r>
      <w:r w:rsidRPr="00F86D43">
        <w:rPr>
          <w:rFonts w:cstheme="minorHAnsi"/>
          <w:color w:val="7030A0"/>
          <w:sz w:val="24"/>
          <w:szCs w:val="24"/>
        </w:rPr>
        <w:t>.</w:t>
      </w:r>
    </w:p>
    <w:p w:rsidR="00B83C14" w:rsidRDefault="00B83C14" w:rsidP="00B11AA3">
      <w:pPr>
        <w:jc w:val="both"/>
        <w:rPr>
          <w:rFonts w:cstheme="minorHAnsi"/>
          <w:b/>
          <w:bCs/>
          <w:sz w:val="24"/>
          <w:szCs w:val="24"/>
        </w:rPr>
      </w:pPr>
    </w:p>
    <w:p w:rsidR="00B11AA3" w:rsidRDefault="00CE3E91" w:rsidP="00B11AA3">
      <w:pPr>
        <w:jc w:val="both"/>
        <w:rPr>
          <w:rFonts w:cstheme="minorHAnsi"/>
          <w:color w:val="000000" w:themeColor="text1"/>
          <w:sz w:val="24"/>
          <w:szCs w:val="24"/>
        </w:rPr>
      </w:pPr>
      <w:r w:rsidRPr="00B11AA3">
        <w:rPr>
          <w:rFonts w:cstheme="minorHAnsi"/>
          <w:b/>
          <w:bCs/>
          <w:sz w:val="24"/>
          <w:szCs w:val="24"/>
        </w:rPr>
        <w:lastRenderedPageBreak/>
        <w:t>Surveillance :</w:t>
      </w:r>
      <w:r w:rsidRPr="00277197">
        <w:rPr>
          <w:rFonts w:cstheme="minorHAnsi"/>
          <w:color w:val="000000" w:themeColor="text1"/>
          <w:sz w:val="24"/>
          <w:szCs w:val="24"/>
        </w:rPr>
        <w:t xml:space="preserve"> </w:t>
      </w:r>
    </w:p>
    <w:p w:rsidR="00CE3E91" w:rsidRDefault="00CE3E91" w:rsidP="00B11AA3">
      <w:pPr>
        <w:jc w:val="both"/>
        <w:rPr>
          <w:rFonts w:cstheme="minorHAnsi"/>
          <w:color w:val="000000" w:themeColor="text1"/>
          <w:sz w:val="24"/>
          <w:szCs w:val="24"/>
        </w:rPr>
      </w:pPr>
      <w:r w:rsidRPr="00277197">
        <w:rPr>
          <w:rFonts w:cstheme="minorHAnsi"/>
          <w:color w:val="000000" w:themeColor="text1"/>
          <w:sz w:val="24"/>
          <w:szCs w:val="24"/>
        </w:rPr>
        <w:t>La surveillance biologique repose sur une évaluation bimensuelle de l’hémogramme avec numération des plaquettes, des transaminases, de la créatininémie pendant le premier trimestre, puis mensuelle.</w:t>
      </w:r>
    </w:p>
    <w:p w:rsidR="00FF2669" w:rsidRPr="00B23E1C" w:rsidRDefault="00CE3E91" w:rsidP="00B23E1C">
      <w:pPr>
        <w:rPr>
          <w:rFonts w:cstheme="minorHAnsi"/>
          <w:color w:val="FF0000"/>
          <w:sz w:val="28"/>
          <w:szCs w:val="24"/>
        </w:rPr>
      </w:pPr>
      <w:proofErr w:type="gramStart"/>
      <w:r w:rsidRPr="00B97BD0">
        <w:rPr>
          <w:rFonts w:cstheme="minorHAnsi"/>
          <w:b/>
          <w:bCs/>
          <w:sz w:val="28"/>
          <w:szCs w:val="24"/>
        </w:rPr>
        <w:t>e</w:t>
      </w:r>
      <w:r w:rsidR="00FF2669" w:rsidRPr="00B97BD0">
        <w:rPr>
          <w:rFonts w:cstheme="minorHAnsi"/>
          <w:b/>
          <w:bCs/>
          <w:sz w:val="28"/>
          <w:szCs w:val="24"/>
        </w:rPr>
        <w:t>-</w:t>
      </w:r>
      <w:proofErr w:type="spellStart"/>
      <w:proofErr w:type="gramEnd"/>
      <w:r w:rsidR="00B11AA3" w:rsidRPr="00B97BD0">
        <w:rPr>
          <w:rFonts w:cstheme="minorHAnsi"/>
          <w:b/>
          <w:bCs/>
          <w:sz w:val="28"/>
          <w:szCs w:val="24"/>
        </w:rPr>
        <w:t>Plaquenil</w:t>
      </w:r>
      <w:proofErr w:type="spellEnd"/>
      <w:r w:rsidR="00B11AA3" w:rsidRPr="00B97BD0">
        <w:rPr>
          <w:rFonts w:cstheme="minorHAnsi"/>
          <w:b/>
          <w:bCs/>
          <w:sz w:val="28"/>
          <w:szCs w:val="24"/>
        </w:rPr>
        <w:t xml:space="preserve"> (</w:t>
      </w:r>
      <w:proofErr w:type="spellStart"/>
      <w:r w:rsidR="00B11AA3" w:rsidRPr="00B97BD0">
        <w:rPr>
          <w:rFonts w:cstheme="minorHAnsi"/>
          <w:b/>
          <w:bCs/>
          <w:sz w:val="28"/>
          <w:szCs w:val="24"/>
        </w:rPr>
        <w:t>Hydrochloroquine</w:t>
      </w:r>
      <w:proofErr w:type="spellEnd"/>
      <w:r w:rsidR="00B11AA3" w:rsidRPr="00B97BD0">
        <w:rPr>
          <w:rFonts w:cstheme="minorHAnsi"/>
          <w:b/>
          <w:bCs/>
          <w:sz w:val="28"/>
          <w:szCs w:val="24"/>
        </w:rPr>
        <w:t>) :</w:t>
      </w:r>
      <w:r w:rsidR="00FF2669" w:rsidRPr="00277197">
        <w:rPr>
          <w:rFonts w:cstheme="minorHAnsi"/>
          <w:sz w:val="24"/>
          <w:szCs w:val="24"/>
        </w:rPr>
        <w:t>(</w:t>
      </w:r>
      <w:r w:rsidR="00B23E1C">
        <w:rPr>
          <w:rFonts w:cstheme="minorHAnsi"/>
          <w:sz w:val="24"/>
          <w:szCs w:val="24"/>
        </w:rPr>
        <w:t>S</w:t>
      </w:r>
      <w:r w:rsidR="00FF2669" w:rsidRPr="00277197">
        <w:rPr>
          <w:rFonts w:cstheme="minorHAnsi"/>
          <w:sz w:val="24"/>
          <w:szCs w:val="24"/>
        </w:rPr>
        <w:t>ulfate d’</w:t>
      </w:r>
      <w:proofErr w:type="spellStart"/>
      <w:r w:rsidR="00FF2669" w:rsidRPr="00277197">
        <w:rPr>
          <w:rFonts w:cstheme="minorHAnsi"/>
          <w:sz w:val="24"/>
          <w:szCs w:val="24"/>
        </w:rPr>
        <w:t>hydroxychloroquine</w:t>
      </w:r>
      <w:proofErr w:type="spellEnd"/>
      <w:r w:rsidR="00FF2669" w:rsidRPr="00277197">
        <w:rPr>
          <w:rFonts w:cstheme="minorHAnsi"/>
          <w:sz w:val="24"/>
          <w:szCs w:val="24"/>
        </w:rPr>
        <w:t>) appartient à la classe des amino-4 quinoléines</w:t>
      </w:r>
    </w:p>
    <w:p w:rsidR="00FF2669" w:rsidRPr="00277197" w:rsidRDefault="00FF2669" w:rsidP="00B83C14">
      <w:pPr>
        <w:rPr>
          <w:rFonts w:cstheme="minorHAnsi"/>
          <w:sz w:val="24"/>
          <w:szCs w:val="24"/>
        </w:rPr>
      </w:pPr>
      <w:r w:rsidRPr="00277197">
        <w:rPr>
          <w:rFonts w:cstheme="minorHAnsi"/>
          <w:b/>
          <w:bCs/>
          <w:color w:val="7030A0"/>
          <w:sz w:val="24"/>
          <w:szCs w:val="24"/>
        </w:rPr>
        <w:t xml:space="preserve"> </w:t>
      </w:r>
      <w:r w:rsidRPr="00B11AA3">
        <w:rPr>
          <w:rFonts w:cstheme="minorHAnsi"/>
          <w:b/>
          <w:bCs/>
          <w:sz w:val="24"/>
          <w:szCs w:val="24"/>
        </w:rPr>
        <w:t>Forme et posologie</w:t>
      </w:r>
      <w:r w:rsidRPr="00B11AA3">
        <w:rPr>
          <w:rFonts w:cstheme="minorHAnsi"/>
          <w:sz w:val="24"/>
          <w:szCs w:val="24"/>
        </w:rPr>
        <w:t> :</w:t>
      </w:r>
      <w:r w:rsidR="00B83C14">
        <w:rPr>
          <w:rFonts w:cstheme="minorHAnsi"/>
          <w:sz w:val="24"/>
          <w:szCs w:val="24"/>
        </w:rPr>
        <w:t xml:space="preserve"> </w:t>
      </w:r>
      <w:r w:rsidRPr="00277197">
        <w:rPr>
          <w:rFonts w:cstheme="minorHAnsi"/>
          <w:sz w:val="24"/>
          <w:szCs w:val="24"/>
        </w:rPr>
        <w:t>Cp 200 mg 2 à 3 Cp/jour en traitement d’attaque en 2 ou 3 prises puis 1 à 2 Cp/jour en tt d’entretien en 1 ou 2 prises</w:t>
      </w:r>
      <w:r w:rsidR="00B83C14">
        <w:rPr>
          <w:rFonts w:cstheme="minorHAnsi"/>
          <w:sz w:val="24"/>
          <w:szCs w:val="24"/>
        </w:rPr>
        <w:t xml:space="preserve">. </w:t>
      </w:r>
      <w:r w:rsidRPr="00277197">
        <w:rPr>
          <w:rFonts w:cstheme="minorHAnsi"/>
          <w:sz w:val="24"/>
          <w:szCs w:val="24"/>
        </w:rPr>
        <w:t xml:space="preserve"> La dose quotidienne ne doit pas dépasser 6,5 mg. </w:t>
      </w:r>
    </w:p>
    <w:p w:rsidR="00FF2669" w:rsidRPr="00B97BD0" w:rsidRDefault="00B11AA3" w:rsidP="00FF2669">
      <w:pPr>
        <w:rPr>
          <w:rFonts w:cstheme="minorHAnsi"/>
          <w:b/>
          <w:bCs/>
          <w:sz w:val="24"/>
          <w:szCs w:val="24"/>
        </w:rPr>
      </w:pPr>
      <w:r w:rsidRPr="00B97BD0">
        <w:rPr>
          <w:rFonts w:cstheme="minorHAnsi"/>
          <w:b/>
          <w:bCs/>
          <w:sz w:val="24"/>
          <w:szCs w:val="24"/>
        </w:rPr>
        <w:t>Contre-indication</w:t>
      </w:r>
      <w:r w:rsidR="00FF2669" w:rsidRPr="00B97BD0">
        <w:rPr>
          <w:rFonts w:cstheme="minorHAnsi"/>
          <w:b/>
          <w:bCs/>
          <w:sz w:val="24"/>
          <w:szCs w:val="24"/>
        </w:rPr>
        <w:t xml:space="preserve"> : </w:t>
      </w:r>
    </w:p>
    <w:p w:rsidR="00B11AA3" w:rsidRDefault="00FF2669" w:rsidP="00CE19DF">
      <w:pPr>
        <w:pStyle w:val="Paragraphedeliste"/>
        <w:numPr>
          <w:ilvl w:val="0"/>
          <w:numId w:val="40"/>
        </w:numPr>
        <w:rPr>
          <w:rFonts w:cstheme="minorHAnsi"/>
          <w:sz w:val="24"/>
          <w:szCs w:val="24"/>
        </w:rPr>
      </w:pPr>
      <w:r w:rsidRPr="00B11AA3">
        <w:rPr>
          <w:rFonts w:cstheme="minorHAnsi"/>
          <w:sz w:val="24"/>
          <w:szCs w:val="24"/>
        </w:rPr>
        <w:t>Rétinopathies.</w:t>
      </w:r>
    </w:p>
    <w:p w:rsidR="00B11AA3" w:rsidRDefault="00FF2669" w:rsidP="00CE19DF">
      <w:pPr>
        <w:pStyle w:val="Paragraphedeliste"/>
        <w:numPr>
          <w:ilvl w:val="0"/>
          <w:numId w:val="40"/>
        </w:numPr>
        <w:rPr>
          <w:rFonts w:cstheme="minorHAnsi"/>
          <w:sz w:val="24"/>
          <w:szCs w:val="24"/>
        </w:rPr>
      </w:pPr>
      <w:r w:rsidRPr="00B11AA3">
        <w:rPr>
          <w:rFonts w:cstheme="minorHAnsi"/>
          <w:sz w:val="24"/>
          <w:szCs w:val="24"/>
        </w:rPr>
        <w:t>Hypersensibilité à la chloroquine ou à l’</w:t>
      </w:r>
      <w:proofErr w:type="spellStart"/>
      <w:r w:rsidR="00873817" w:rsidRPr="00B11AA3">
        <w:rPr>
          <w:rFonts w:cstheme="minorHAnsi"/>
          <w:sz w:val="24"/>
          <w:szCs w:val="24"/>
        </w:rPr>
        <w:t>Hydroxychloroquine</w:t>
      </w:r>
      <w:proofErr w:type="spellEnd"/>
      <w:r w:rsidRPr="00B11AA3">
        <w:rPr>
          <w:rFonts w:cstheme="minorHAnsi"/>
          <w:sz w:val="24"/>
          <w:szCs w:val="24"/>
        </w:rPr>
        <w:t xml:space="preserve"> ou à l’un des autres constituants de ce médicament.</w:t>
      </w:r>
    </w:p>
    <w:p w:rsidR="00B11AA3" w:rsidRDefault="00FF2669" w:rsidP="00CE19DF">
      <w:pPr>
        <w:pStyle w:val="Paragraphedeliste"/>
        <w:numPr>
          <w:ilvl w:val="0"/>
          <w:numId w:val="40"/>
        </w:numPr>
        <w:rPr>
          <w:rFonts w:cstheme="minorHAnsi"/>
          <w:sz w:val="24"/>
          <w:szCs w:val="24"/>
        </w:rPr>
      </w:pPr>
      <w:r w:rsidRPr="00B11AA3">
        <w:rPr>
          <w:rFonts w:cstheme="minorHAnsi"/>
          <w:sz w:val="24"/>
          <w:szCs w:val="24"/>
        </w:rPr>
        <w:t xml:space="preserve"> Allaitement.</w:t>
      </w:r>
    </w:p>
    <w:p w:rsidR="00FF2669" w:rsidRPr="00B11AA3" w:rsidRDefault="00FF2669" w:rsidP="00CE19DF">
      <w:pPr>
        <w:pStyle w:val="Paragraphedeliste"/>
        <w:numPr>
          <w:ilvl w:val="0"/>
          <w:numId w:val="40"/>
        </w:numPr>
        <w:rPr>
          <w:rFonts w:cstheme="minorHAnsi"/>
          <w:sz w:val="24"/>
          <w:szCs w:val="24"/>
        </w:rPr>
      </w:pPr>
      <w:r w:rsidRPr="00B11AA3">
        <w:rPr>
          <w:rFonts w:cstheme="minorHAnsi"/>
          <w:sz w:val="24"/>
          <w:szCs w:val="24"/>
        </w:rPr>
        <w:t>Enfant de moins de 6 ans</w:t>
      </w:r>
      <w:r w:rsidR="00873817" w:rsidRPr="00B11AA3">
        <w:rPr>
          <w:rFonts w:cstheme="minorHAnsi"/>
          <w:sz w:val="24"/>
          <w:szCs w:val="24"/>
        </w:rPr>
        <w:t xml:space="preserve"> </w:t>
      </w:r>
      <w:r w:rsidRPr="00B11AA3">
        <w:rPr>
          <w:rFonts w:cstheme="minorHAnsi"/>
          <w:sz w:val="24"/>
          <w:szCs w:val="24"/>
        </w:rPr>
        <w:t xml:space="preserve">(atteinte </w:t>
      </w:r>
      <w:r w:rsidR="00873817" w:rsidRPr="00B11AA3">
        <w:rPr>
          <w:rFonts w:cstheme="minorHAnsi"/>
          <w:sz w:val="24"/>
          <w:szCs w:val="24"/>
        </w:rPr>
        <w:t>rétinienne</w:t>
      </w:r>
      <w:r w:rsidRPr="00B11AA3">
        <w:rPr>
          <w:rFonts w:cstheme="minorHAnsi"/>
          <w:sz w:val="24"/>
          <w:szCs w:val="24"/>
        </w:rPr>
        <w:t xml:space="preserve"> </w:t>
      </w:r>
      <w:r w:rsidR="00873817" w:rsidRPr="00B11AA3">
        <w:rPr>
          <w:rFonts w:cstheme="minorHAnsi"/>
          <w:sz w:val="24"/>
          <w:szCs w:val="24"/>
        </w:rPr>
        <w:t>irréversible</w:t>
      </w:r>
      <w:r w:rsidRPr="00B11AA3">
        <w:rPr>
          <w:rFonts w:cstheme="minorHAnsi"/>
          <w:sz w:val="24"/>
          <w:szCs w:val="24"/>
        </w:rPr>
        <w:t>)</w:t>
      </w:r>
    </w:p>
    <w:p w:rsidR="00FF2669" w:rsidRPr="00B11AA3" w:rsidRDefault="00FF2669" w:rsidP="00FF2669">
      <w:pPr>
        <w:rPr>
          <w:rFonts w:cstheme="minorHAnsi"/>
          <w:b/>
          <w:bCs/>
          <w:sz w:val="24"/>
          <w:szCs w:val="24"/>
        </w:rPr>
      </w:pPr>
      <w:r w:rsidRPr="00B11AA3">
        <w:rPr>
          <w:rFonts w:cstheme="minorHAnsi"/>
          <w:b/>
          <w:bCs/>
          <w:sz w:val="24"/>
          <w:szCs w:val="24"/>
        </w:rPr>
        <w:t>Effets secondaires:</w:t>
      </w:r>
    </w:p>
    <w:p w:rsidR="00B11AA3" w:rsidRDefault="00FF2669" w:rsidP="00CE19DF">
      <w:pPr>
        <w:pStyle w:val="Paragraphedeliste"/>
        <w:numPr>
          <w:ilvl w:val="0"/>
          <w:numId w:val="41"/>
        </w:numPr>
        <w:jc w:val="both"/>
        <w:rPr>
          <w:rFonts w:cstheme="minorHAnsi"/>
          <w:sz w:val="24"/>
          <w:szCs w:val="24"/>
        </w:rPr>
      </w:pPr>
      <w:r w:rsidRPr="00B11AA3">
        <w:rPr>
          <w:rFonts w:cstheme="minorHAnsi"/>
          <w:sz w:val="24"/>
          <w:szCs w:val="24"/>
        </w:rPr>
        <w:t xml:space="preserve">Troubles du sang et du système lymphatique : Dépression de la moelle osseuse, anémie, anémie aplasique, agranulocytose, leucopénie, </w:t>
      </w:r>
      <w:proofErr w:type="spellStart"/>
      <w:r w:rsidRPr="00B11AA3">
        <w:rPr>
          <w:rFonts w:cstheme="minorHAnsi"/>
          <w:sz w:val="24"/>
          <w:szCs w:val="24"/>
        </w:rPr>
        <w:t>thrombocytopénie</w:t>
      </w:r>
      <w:proofErr w:type="spellEnd"/>
      <w:r w:rsidRPr="00B11AA3">
        <w:rPr>
          <w:rFonts w:cstheme="minorHAnsi"/>
          <w:sz w:val="24"/>
          <w:szCs w:val="24"/>
        </w:rPr>
        <w:t>.</w:t>
      </w:r>
    </w:p>
    <w:p w:rsidR="00B11AA3" w:rsidRDefault="00FF2669" w:rsidP="00CE19DF">
      <w:pPr>
        <w:pStyle w:val="Paragraphedeliste"/>
        <w:numPr>
          <w:ilvl w:val="0"/>
          <w:numId w:val="41"/>
        </w:numPr>
        <w:jc w:val="both"/>
        <w:rPr>
          <w:rFonts w:cstheme="minorHAnsi"/>
          <w:sz w:val="24"/>
          <w:szCs w:val="24"/>
        </w:rPr>
      </w:pPr>
      <w:r w:rsidRPr="00B11AA3">
        <w:rPr>
          <w:rFonts w:cstheme="minorHAnsi"/>
          <w:sz w:val="24"/>
          <w:szCs w:val="24"/>
        </w:rPr>
        <w:t>Troubles cardiaques</w:t>
      </w:r>
      <w:r w:rsidRPr="00B11AA3">
        <w:rPr>
          <w:rFonts w:cstheme="minorHAnsi"/>
          <w:color w:val="00B050"/>
          <w:sz w:val="24"/>
          <w:szCs w:val="24"/>
        </w:rPr>
        <w:t xml:space="preserve"> :</w:t>
      </w:r>
      <w:r w:rsidRPr="00B11AA3">
        <w:rPr>
          <w:rFonts w:cstheme="minorHAnsi"/>
          <w:sz w:val="24"/>
          <w:szCs w:val="24"/>
        </w:rPr>
        <w:t xml:space="preserve"> Myocardiopathie pouvant entraîner une insuffisance cardiaque et dans certains cas le décès du patient.</w:t>
      </w:r>
    </w:p>
    <w:p w:rsidR="00FF2669" w:rsidRPr="00277197" w:rsidRDefault="00FF2669" w:rsidP="00C733E8">
      <w:pPr>
        <w:pStyle w:val="Paragraphedeliste"/>
        <w:ind w:left="360"/>
        <w:jc w:val="both"/>
        <w:rPr>
          <w:rFonts w:cstheme="minorHAnsi"/>
          <w:sz w:val="24"/>
          <w:szCs w:val="24"/>
        </w:rPr>
      </w:pPr>
      <w:r w:rsidRPr="00B11AA3">
        <w:rPr>
          <w:rFonts w:cstheme="minorHAnsi"/>
          <w:sz w:val="24"/>
          <w:szCs w:val="24"/>
        </w:rPr>
        <w:t>Il convient d’envisager une toxicité chronique en cas de trouble de la conduction (bloc de</w:t>
      </w:r>
      <w:r w:rsidRPr="00277197">
        <w:rPr>
          <w:rFonts w:cstheme="minorHAnsi"/>
          <w:sz w:val="24"/>
          <w:szCs w:val="24"/>
        </w:rPr>
        <w:t xml:space="preserve">     branche / bloc auriculo-ventriculaire) ou d’hypertroph</w:t>
      </w:r>
      <w:r w:rsidR="00B11AA3">
        <w:rPr>
          <w:rFonts w:cstheme="minorHAnsi"/>
          <w:sz w:val="24"/>
          <w:szCs w:val="24"/>
        </w:rPr>
        <w:t xml:space="preserve">ie bi ventriculaire. L’arrêt du </w:t>
      </w:r>
      <w:r w:rsidRPr="00277197">
        <w:rPr>
          <w:rFonts w:cstheme="minorHAnsi"/>
          <w:sz w:val="24"/>
          <w:szCs w:val="24"/>
        </w:rPr>
        <w:t xml:space="preserve">médicament peut se traduire par un rétablissement. </w:t>
      </w:r>
    </w:p>
    <w:p w:rsidR="00FF2669" w:rsidRPr="00277197" w:rsidRDefault="00FF2669" w:rsidP="00CE19DF">
      <w:pPr>
        <w:pStyle w:val="Paragraphedeliste"/>
        <w:numPr>
          <w:ilvl w:val="0"/>
          <w:numId w:val="42"/>
        </w:numPr>
        <w:jc w:val="both"/>
        <w:rPr>
          <w:rFonts w:cstheme="minorHAnsi"/>
          <w:sz w:val="24"/>
          <w:szCs w:val="24"/>
        </w:rPr>
      </w:pPr>
      <w:r w:rsidRPr="00C733E8">
        <w:rPr>
          <w:rFonts w:cstheme="minorHAnsi"/>
          <w:sz w:val="24"/>
          <w:szCs w:val="24"/>
        </w:rPr>
        <w:t>Troubles de l’oreille et du labyrinthe :</w:t>
      </w:r>
      <w:r w:rsidRPr="00277197">
        <w:rPr>
          <w:rFonts w:cstheme="minorHAnsi"/>
          <w:sz w:val="24"/>
          <w:szCs w:val="24"/>
        </w:rPr>
        <w:t xml:space="preserve"> Vertiges, acouphènes. </w:t>
      </w:r>
    </w:p>
    <w:p w:rsidR="00FF2669" w:rsidRPr="00C733E8" w:rsidRDefault="00FF2669" w:rsidP="00CE19DF">
      <w:pPr>
        <w:pStyle w:val="Paragraphedeliste"/>
        <w:numPr>
          <w:ilvl w:val="0"/>
          <w:numId w:val="42"/>
        </w:numPr>
        <w:jc w:val="both"/>
        <w:rPr>
          <w:rFonts w:cstheme="minorHAnsi"/>
          <w:sz w:val="24"/>
          <w:szCs w:val="24"/>
        </w:rPr>
      </w:pPr>
      <w:r w:rsidRPr="00C733E8">
        <w:rPr>
          <w:rFonts w:cstheme="minorHAnsi"/>
          <w:sz w:val="24"/>
          <w:szCs w:val="24"/>
        </w:rPr>
        <w:t xml:space="preserve">Trouble des yeux : Vision floue due à une perturbation de l’accommodation réversible et dépendant de la dose reçue. </w:t>
      </w:r>
    </w:p>
    <w:p w:rsidR="00FF2669" w:rsidRPr="00C733E8" w:rsidRDefault="00FF2669" w:rsidP="00CE19DF">
      <w:pPr>
        <w:pStyle w:val="Paragraphedeliste"/>
        <w:numPr>
          <w:ilvl w:val="0"/>
          <w:numId w:val="42"/>
        </w:numPr>
        <w:jc w:val="both"/>
        <w:rPr>
          <w:rFonts w:cstheme="minorHAnsi"/>
          <w:sz w:val="24"/>
          <w:szCs w:val="24"/>
        </w:rPr>
      </w:pPr>
      <w:r w:rsidRPr="00C733E8">
        <w:rPr>
          <w:rFonts w:cstheme="minorHAnsi"/>
          <w:sz w:val="24"/>
          <w:szCs w:val="24"/>
        </w:rPr>
        <w:t xml:space="preserve">Troubles gastro-intestinaux </w:t>
      </w:r>
    </w:p>
    <w:p w:rsidR="00FF2669" w:rsidRPr="00277197" w:rsidRDefault="00FF2669" w:rsidP="00CE19DF">
      <w:pPr>
        <w:pStyle w:val="Paragraphedeliste"/>
        <w:numPr>
          <w:ilvl w:val="1"/>
          <w:numId w:val="42"/>
        </w:numPr>
        <w:jc w:val="both"/>
        <w:rPr>
          <w:rFonts w:cstheme="minorHAnsi"/>
          <w:sz w:val="24"/>
          <w:szCs w:val="24"/>
        </w:rPr>
      </w:pPr>
      <w:r w:rsidRPr="00277197">
        <w:rPr>
          <w:rFonts w:cstheme="minorHAnsi"/>
          <w:b/>
          <w:bCs/>
          <w:color w:val="000000" w:themeColor="text1"/>
          <w:sz w:val="24"/>
          <w:szCs w:val="24"/>
        </w:rPr>
        <w:t>Très fréquent</w:t>
      </w:r>
      <w:r w:rsidRPr="00277197">
        <w:rPr>
          <w:rFonts w:cstheme="minorHAnsi"/>
          <w:sz w:val="24"/>
          <w:szCs w:val="24"/>
        </w:rPr>
        <w:t xml:space="preserve"> : Douleur abdominale, nausées.</w:t>
      </w:r>
    </w:p>
    <w:p w:rsidR="00FF2669" w:rsidRPr="00277197" w:rsidRDefault="00FF2669" w:rsidP="00CE19DF">
      <w:pPr>
        <w:pStyle w:val="Paragraphedeliste"/>
        <w:numPr>
          <w:ilvl w:val="1"/>
          <w:numId w:val="42"/>
        </w:numPr>
        <w:jc w:val="both"/>
        <w:rPr>
          <w:rFonts w:cstheme="minorHAnsi"/>
          <w:sz w:val="24"/>
          <w:szCs w:val="24"/>
        </w:rPr>
      </w:pPr>
      <w:r w:rsidRPr="00277197">
        <w:rPr>
          <w:rFonts w:cstheme="minorHAnsi"/>
          <w:b/>
          <w:bCs/>
          <w:sz w:val="24"/>
          <w:szCs w:val="24"/>
        </w:rPr>
        <w:t xml:space="preserve">Fréquent </w:t>
      </w:r>
      <w:r w:rsidRPr="00277197">
        <w:rPr>
          <w:rFonts w:cstheme="minorHAnsi"/>
          <w:sz w:val="24"/>
          <w:szCs w:val="24"/>
        </w:rPr>
        <w:t xml:space="preserve">: Diarrhée, vomissements. En général, ces symptômes disparaissent immédiatement après la réduction de la dose ou l’arrêt du traitement. </w:t>
      </w:r>
    </w:p>
    <w:p w:rsidR="00FF2669" w:rsidRPr="00263A60" w:rsidRDefault="00FF2669" w:rsidP="00CE19DF">
      <w:pPr>
        <w:pStyle w:val="Paragraphedeliste"/>
        <w:numPr>
          <w:ilvl w:val="1"/>
          <w:numId w:val="42"/>
        </w:numPr>
        <w:jc w:val="both"/>
        <w:rPr>
          <w:rFonts w:cstheme="minorHAnsi"/>
          <w:sz w:val="24"/>
          <w:szCs w:val="24"/>
        </w:rPr>
      </w:pPr>
      <w:r w:rsidRPr="00263A60">
        <w:rPr>
          <w:rFonts w:cstheme="minorHAnsi"/>
          <w:sz w:val="24"/>
          <w:szCs w:val="24"/>
        </w:rPr>
        <w:t>Troubles hépatobiliaires : Anomalie des tests d’exploration de la fonction hépatique</w:t>
      </w:r>
      <w:r w:rsidR="00873817" w:rsidRPr="00263A60">
        <w:rPr>
          <w:rFonts w:cstheme="minorHAnsi"/>
          <w:b/>
          <w:bCs/>
          <w:sz w:val="24"/>
          <w:szCs w:val="24"/>
        </w:rPr>
        <w:t>,</w:t>
      </w:r>
      <w:r w:rsidR="00873817" w:rsidRPr="00263A60">
        <w:rPr>
          <w:rFonts w:cstheme="minorHAnsi"/>
          <w:sz w:val="24"/>
          <w:szCs w:val="24"/>
        </w:rPr>
        <w:t xml:space="preserve"> Insuffisance</w:t>
      </w:r>
      <w:r w:rsidRPr="00263A60">
        <w:rPr>
          <w:rFonts w:cstheme="minorHAnsi"/>
          <w:sz w:val="24"/>
          <w:szCs w:val="24"/>
        </w:rPr>
        <w:t xml:space="preserve"> hépatique fulminante. </w:t>
      </w:r>
    </w:p>
    <w:p w:rsidR="00FF2669" w:rsidRPr="00C733E8" w:rsidRDefault="00FF2669" w:rsidP="00CE19DF">
      <w:pPr>
        <w:pStyle w:val="Paragraphedeliste"/>
        <w:numPr>
          <w:ilvl w:val="0"/>
          <w:numId w:val="42"/>
        </w:numPr>
        <w:jc w:val="both"/>
        <w:rPr>
          <w:rFonts w:cstheme="minorHAnsi"/>
          <w:sz w:val="24"/>
          <w:szCs w:val="24"/>
        </w:rPr>
      </w:pPr>
      <w:r w:rsidRPr="00C733E8">
        <w:rPr>
          <w:rFonts w:cstheme="minorHAnsi"/>
          <w:sz w:val="24"/>
          <w:szCs w:val="24"/>
        </w:rPr>
        <w:t xml:space="preserve">Troubles du système immunitaire Fréquence inconnue : Urticaire, œdème de Quincke, bronchospasme. </w:t>
      </w:r>
    </w:p>
    <w:p w:rsidR="00FF2669" w:rsidRPr="00C733E8" w:rsidRDefault="00FF2669" w:rsidP="00CE19DF">
      <w:pPr>
        <w:pStyle w:val="Paragraphedeliste"/>
        <w:numPr>
          <w:ilvl w:val="0"/>
          <w:numId w:val="42"/>
        </w:numPr>
        <w:jc w:val="both"/>
        <w:rPr>
          <w:rFonts w:cstheme="minorHAnsi"/>
          <w:sz w:val="24"/>
          <w:szCs w:val="24"/>
        </w:rPr>
      </w:pPr>
      <w:r w:rsidRPr="00C733E8">
        <w:rPr>
          <w:rFonts w:cstheme="minorHAnsi"/>
          <w:sz w:val="24"/>
          <w:szCs w:val="24"/>
        </w:rPr>
        <w:t xml:space="preserve">Troubles métaboliques et nutritionnels : Anorexie (en général, ce symptôme disparaît immédiatement après la réduction de la dose ou l’arrêt du traitement), Hypoglycémie. </w:t>
      </w:r>
    </w:p>
    <w:p w:rsidR="00FF2669" w:rsidRPr="00C733E8" w:rsidRDefault="00FF2669" w:rsidP="00CE19DF">
      <w:pPr>
        <w:pStyle w:val="Paragraphedeliste"/>
        <w:numPr>
          <w:ilvl w:val="0"/>
          <w:numId w:val="42"/>
        </w:numPr>
        <w:jc w:val="both"/>
        <w:rPr>
          <w:rFonts w:cstheme="minorHAnsi"/>
          <w:sz w:val="24"/>
          <w:szCs w:val="24"/>
        </w:rPr>
      </w:pPr>
      <w:r w:rsidRPr="00C733E8">
        <w:rPr>
          <w:rFonts w:cstheme="minorHAnsi"/>
          <w:sz w:val="24"/>
          <w:szCs w:val="24"/>
        </w:rPr>
        <w:t xml:space="preserve">Troubles des muscles squelettiques et du tissu conjonctif </w:t>
      </w:r>
    </w:p>
    <w:p w:rsidR="00FF2669" w:rsidRPr="00277197" w:rsidRDefault="00FF2669" w:rsidP="00CE19DF">
      <w:pPr>
        <w:pStyle w:val="Paragraphedeliste"/>
        <w:numPr>
          <w:ilvl w:val="0"/>
          <w:numId w:val="42"/>
        </w:numPr>
        <w:jc w:val="both"/>
        <w:rPr>
          <w:rFonts w:cstheme="minorHAnsi"/>
          <w:sz w:val="24"/>
          <w:szCs w:val="24"/>
        </w:rPr>
      </w:pPr>
      <w:r w:rsidRPr="00277197">
        <w:rPr>
          <w:rFonts w:cstheme="minorHAnsi"/>
          <w:b/>
          <w:bCs/>
          <w:color w:val="000000" w:themeColor="text1"/>
          <w:sz w:val="24"/>
          <w:szCs w:val="24"/>
        </w:rPr>
        <w:t>Peu fréquent :</w:t>
      </w:r>
      <w:r w:rsidRPr="00277197">
        <w:rPr>
          <w:rFonts w:cstheme="minorHAnsi"/>
          <w:sz w:val="24"/>
          <w:szCs w:val="24"/>
        </w:rPr>
        <w:t xml:space="preserve"> Troubles moteurs sensoriels </w:t>
      </w:r>
    </w:p>
    <w:p w:rsidR="00C733E8" w:rsidRDefault="00FF2669" w:rsidP="00C733E8">
      <w:pPr>
        <w:pStyle w:val="Paragraphedeliste"/>
        <w:ind w:left="360"/>
        <w:jc w:val="both"/>
        <w:rPr>
          <w:rFonts w:cstheme="minorHAnsi"/>
          <w:sz w:val="24"/>
          <w:szCs w:val="24"/>
        </w:rPr>
      </w:pPr>
      <w:r w:rsidRPr="00277197">
        <w:rPr>
          <w:rFonts w:cstheme="minorHAnsi"/>
          <w:b/>
          <w:bCs/>
          <w:sz w:val="24"/>
          <w:szCs w:val="24"/>
        </w:rPr>
        <w:t xml:space="preserve"> Fréquence inconnue</w:t>
      </w:r>
      <w:r w:rsidRPr="00277197">
        <w:rPr>
          <w:rFonts w:cstheme="minorHAnsi"/>
          <w:sz w:val="24"/>
          <w:szCs w:val="24"/>
        </w:rPr>
        <w:t xml:space="preserve"> : Paralysie des muscles squelettique, myopathie squelettique ou </w:t>
      </w:r>
      <w:proofErr w:type="spellStart"/>
      <w:r w:rsidRPr="00277197">
        <w:rPr>
          <w:rFonts w:cstheme="minorHAnsi"/>
          <w:sz w:val="24"/>
          <w:szCs w:val="24"/>
        </w:rPr>
        <w:t>neuromyopathie</w:t>
      </w:r>
      <w:proofErr w:type="spellEnd"/>
      <w:r w:rsidRPr="00277197">
        <w:rPr>
          <w:rFonts w:cstheme="minorHAnsi"/>
          <w:sz w:val="24"/>
          <w:szCs w:val="24"/>
        </w:rPr>
        <w:t xml:space="preserve"> aboutissant à une faiblesse progressive et à une atrophie des groupes musculaires proximaux, dépression des réflexes tendineux, résultats anormaux aux tests de </w:t>
      </w:r>
      <w:r w:rsidRPr="00277197">
        <w:rPr>
          <w:rFonts w:cstheme="minorHAnsi"/>
          <w:sz w:val="24"/>
          <w:szCs w:val="24"/>
        </w:rPr>
        <w:lastRenderedPageBreak/>
        <w:t>conduction nerveuse. La myopathie peut être réversible après l’arrêt du médicament, mais le rétablissement peut demander de nombreux mois.</w:t>
      </w:r>
    </w:p>
    <w:p w:rsidR="00C733E8" w:rsidRPr="00C733E8" w:rsidRDefault="00FF2669" w:rsidP="00CE19DF">
      <w:pPr>
        <w:pStyle w:val="Paragraphedeliste"/>
        <w:numPr>
          <w:ilvl w:val="0"/>
          <w:numId w:val="43"/>
        </w:numPr>
        <w:jc w:val="both"/>
        <w:rPr>
          <w:rFonts w:cstheme="minorHAnsi"/>
          <w:sz w:val="24"/>
          <w:szCs w:val="24"/>
        </w:rPr>
      </w:pPr>
      <w:r w:rsidRPr="00C733E8">
        <w:rPr>
          <w:rFonts w:cstheme="minorHAnsi"/>
          <w:sz w:val="24"/>
          <w:szCs w:val="24"/>
        </w:rPr>
        <w:t xml:space="preserve">Troubles psychiatriques : Labilité de l’affect, Nervosité. Psychose, comportements suicidaires. </w:t>
      </w:r>
    </w:p>
    <w:p w:rsidR="00FF2669" w:rsidRPr="00C733E8" w:rsidRDefault="00FF2669" w:rsidP="00CE19DF">
      <w:pPr>
        <w:pStyle w:val="Paragraphedeliste"/>
        <w:numPr>
          <w:ilvl w:val="0"/>
          <w:numId w:val="43"/>
        </w:numPr>
        <w:jc w:val="both"/>
        <w:rPr>
          <w:rFonts w:cstheme="minorHAnsi"/>
          <w:sz w:val="24"/>
          <w:szCs w:val="24"/>
        </w:rPr>
      </w:pPr>
      <w:r w:rsidRPr="00C733E8">
        <w:rPr>
          <w:rFonts w:cstheme="minorHAnsi"/>
          <w:sz w:val="24"/>
          <w:szCs w:val="24"/>
        </w:rPr>
        <w:t>Troubles cutanés et sous-cutanés : Éruptions cutanées, prurit</w:t>
      </w:r>
    </w:p>
    <w:p w:rsidR="00FF2669" w:rsidRPr="00C733E8" w:rsidRDefault="00FF2669" w:rsidP="00C733E8">
      <w:pPr>
        <w:jc w:val="both"/>
        <w:rPr>
          <w:rFonts w:cstheme="minorHAnsi"/>
          <w:b/>
          <w:bCs/>
          <w:sz w:val="24"/>
          <w:szCs w:val="24"/>
        </w:rPr>
      </w:pPr>
      <w:r w:rsidRPr="00C733E8">
        <w:rPr>
          <w:rFonts w:cstheme="minorHAnsi"/>
          <w:b/>
          <w:bCs/>
          <w:sz w:val="24"/>
          <w:szCs w:val="24"/>
        </w:rPr>
        <w:t xml:space="preserve">Surveillance : </w:t>
      </w:r>
    </w:p>
    <w:p w:rsidR="00FF2669" w:rsidRPr="00277197" w:rsidRDefault="00FF2669" w:rsidP="00C733E8">
      <w:pPr>
        <w:jc w:val="both"/>
        <w:rPr>
          <w:rFonts w:cstheme="minorHAnsi"/>
          <w:color w:val="000000" w:themeColor="text1"/>
          <w:sz w:val="24"/>
          <w:szCs w:val="24"/>
        </w:rPr>
      </w:pPr>
      <w:r w:rsidRPr="00277197">
        <w:rPr>
          <w:rFonts w:cstheme="minorHAnsi"/>
          <w:color w:val="000000" w:themeColor="text1"/>
          <w:sz w:val="24"/>
          <w:szCs w:val="24"/>
        </w:rPr>
        <w:t>Il faut prévoir un examen ophtalmologique avant de débuter le traitement par APS. Il est recommandé classiquement d'effectuer un contrôle ophtalmologique  tous les 6 à 18 mois selon la présence ou non de facteurs de risque (champ visuel central automatisé et vision des couleurs éventuellement électrorétinogramme). Si le sujet est jeune et la posologie inférieure ou égale à 6 mg/kg/jour d’</w:t>
      </w:r>
      <w:proofErr w:type="spellStart"/>
      <w:r w:rsidR="00C733E8">
        <w:rPr>
          <w:rFonts w:cstheme="minorHAnsi"/>
          <w:color w:val="000000" w:themeColor="text1"/>
          <w:sz w:val="24"/>
          <w:szCs w:val="24"/>
        </w:rPr>
        <w:t>hydroxy</w:t>
      </w:r>
      <w:r w:rsidR="00C733E8" w:rsidRPr="00277197">
        <w:rPr>
          <w:rFonts w:cstheme="minorHAnsi"/>
          <w:color w:val="000000" w:themeColor="text1"/>
          <w:sz w:val="24"/>
          <w:szCs w:val="24"/>
        </w:rPr>
        <w:t>chloroquine</w:t>
      </w:r>
      <w:proofErr w:type="spellEnd"/>
      <w:r w:rsidRPr="00277197">
        <w:rPr>
          <w:rFonts w:cstheme="minorHAnsi"/>
          <w:color w:val="000000" w:themeColor="text1"/>
          <w:sz w:val="24"/>
          <w:szCs w:val="24"/>
        </w:rPr>
        <w:t>, cette surveillance semble pouvoir être espacée.</w:t>
      </w:r>
    </w:p>
    <w:p w:rsidR="00B23E1C" w:rsidRDefault="00233D86" w:rsidP="00277197">
      <w:pPr>
        <w:rPr>
          <w:rFonts w:cstheme="minorHAnsi"/>
          <w:b/>
          <w:bCs/>
          <w:color w:val="000000" w:themeColor="text1"/>
          <w:sz w:val="28"/>
          <w:szCs w:val="24"/>
        </w:rPr>
      </w:pPr>
      <w:proofErr w:type="gramStart"/>
      <w:r w:rsidRPr="004D1E41">
        <w:rPr>
          <w:rFonts w:cstheme="minorHAnsi"/>
          <w:b/>
          <w:bCs/>
          <w:color w:val="000000" w:themeColor="text1"/>
          <w:sz w:val="28"/>
          <w:szCs w:val="24"/>
        </w:rPr>
        <w:t>f</w:t>
      </w:r>
      <w:r w:rsidR="00277197" w:rsidRPr="004D1E41">
        <w:rPr>
          <w:rFonts w:cstheme="minorHAnsi"/>
          <w:b/>
          <w:bCs/>
          <w:color w:val="000000" w:themeColor="text1"/>
          <w:sz w:val="28"/>
          <w:szCs w:val="24"/>
        </w:rPr>
        <w:t>-</w:t>
      </w:r>
      <w:r w:rsidR="00B23E1C">
        <w:rPr>
          <w:rFonts w:cstheme="minorHAnsi"/>
          <w:b/>
          <w:bCs/>
          <w:color w:val="000000" w:themeColor="text1"/>
          <w:sz w:val="28"/>
          <w:szCs w:val="24"/>
        </w:rPr>
        <w:t xml:space="preserve"> d’autres traitement</w:t>
      </w:r>
      <w:proofErr w:type="gramEnd"/>
      <w:r w:rsidR="00B23E1C">
        <w:rPr>
          <w:rFonts w:cstheme="minorHAnsi"/>
          <w:b/>
          <w:bCs/>
          <w:color w:val="000000" w:themeColor="text1"/>
          <w:sz w:val="28"/>
          <w:szCs w:val="24"/>
        </w:rPr>
        <w:t xml:space="preserve"> de fonds peuvent être utilisés : </w:t>
      </w:r>
    </w:p>
    <w:p w:rsidR="00B23E1C" w:rsidRPr="00B23E1C" w:rsidRDefault="00B97BD0" w:rsidP="00CE19DF">
      <w:pPr>
        <w:pStyle w:val="Paragraphedeliste"/>
        <w:numPr>
          <w:ilvl w:val="0"/>
          <w:numId w:val="43"/>
        </w:numPr>
        <w:jc w:val="both"/>
        <w:rPr>
          <w:rFonts w:cstheme="minorHAnsi"/>
          <w:b/>
          <w:color w:val="FF0000"/>
          <w:sz w:val="28"/>
          <w:szCs w:val="24"/>
        </w:rPr>
      </w:pPr>
      <w:r w:rsidRPr="00B23E1C">
        <w:rPr>
          <w:rFonts w:cstheme="minorHAnsi"/>
          <w:b/>
          <w:bCs/>
          <w:color w:val="000000" w:themeColor="text1"/>
          <w:sz w:val="28"/>
          <w:szCs w:val="24"/>
        </w:rPr>
        <w:t>D-</w:t>
      </w:r>
      <w:proofErr w:type="spellStart"/>
      <w:r w:rsidRPr="00B23E1C">
        <w:rPr>
          <w:rFonts w:cstheme="minorHAnsi"/>
          <w:b/>
          <w:bCs/>
          <w:color w:val="000000" w:themeColor="text1"/>
          <w:sz w:val="28"/>
          <w:szCs w:val="24"/>
        </w:rPr>
        <w:t>penicillamine</w:t>
      </w:r>
      <w:proofErr w:type="spellEnd"/>
      <w:r w:rsidRPr="00B23E1C">
        <w:rPr>
          <w:rFonts w:cstheme="minorHAnsi"/>
          <w:b/>
          <w:bCs/>
          <w:color w:val="000000" w:themeColor="text1"/>
          <w:sz w:val="28"/>
          <w:szCs w:val="24"/>
        </w:rPr>
        <w:t> :</w:t>
      </w:r>
    </w:p>
    <w:p w:rsidR="00B23E1C" w:rsidRPr="00B23E1C" w:rsidRDefault="00B97BD0" w:rsidP="00CE19DF">
      <w:pPr>
        <w:pStyle w:val="Paragraphedeliste"/>
        <w:numPr>
          <w:ilvl w:val="0"/>
          <w:numId w:val="43"/>
        </w:numPr>
        <w:jc w:val="both"/>
        <w:rPr>
          <w:rFonts w:cstheme="minorHAnsi"/>
          <w:b/>
          <w:color w:val="FF0000"/>
          <w:sz w:val="28"/>
          <w:szCs w:val="24"/>
        </w:rPr>
      </w:pPr>
      <w:r w:rsidRPr="00B23E1C">
        <w:rPr>
          <w:rFonts w:cstheme="minorHAnsi"/>
          <w:b/>
          <w:color w:val="000000" w:themeColor="text1"/>
          <w:sz w:val="28"/>
          <w:szCs w:val="24"/>
        </w:rPr>
        <w:t xml:space="preserve">Ciclosporine : </w:t>
      </w:r>
    </w:p>
    <w:p w:rsidR="00B23E1C" w:rsidRDefault="00277197" w:rsidP="00CE19DF">
      <w:pPr>
        <w:pStyle w:val="Paragraphedeliste"/>
        <w:numPr>
          <w:ilvl w:val="0"/>
          <w:numId w:val="43"/>
        </w:numPr>
        <w:jc w:val="both"/>
        <w:rPr>
          <w:rFonts w:cstheme="minorHAnsi"/>
          <w:b/>
          <w:bCs/>
          <w:color w:val="000000" w:themeColor="text1"/>
          <w:sz w:val="28"/>
          <w:szCs w:val="24"/>
        </w:rPr>
      </w:pPr>
      <w:proofErr w:type="spellStart"/>
      <w:r w:rsidRPr="00B23E1C">
        <w:rPr>
          <w:rFonts w:cstheme="minorHAnsi"/>
          <w:b/>
          <w:bCs/>
          <w:color w:val="000000" w:themeColor="text1"/>
          <w:sz w:val="28"/>
          <w:szCs w:val="24"/>
        </w:rPr>
        <w:t>Azathioprine</w:t>
      </w:r>
      <w:proofErr w:type="spellEnd"/>
      <w:r w:rsidRPr="00B23E1C">
        <w:rPr>
          <w:rFonts w:cstheme="minorHAnsi"/>
          <w:b/>
          <w:bCs/>
          <w:color w:val="000000" w:themeColor="text1"/>
          <w:sz w:val="28"/>
          <w:szCs w:val="24"/>
        </w:rPr>
        <w:t xml:space="preserve"> (</w:t>
      </w:r>
      <w:proofErr w:type="spellStart"/>
      <w:r w:rsidRPr="00B23E1C">
        <w:rPr>
          <w:rFonts w:cstheme="minorHAnsi"/>
          <w:b/>
          <w:bCs/>
          <w:color w:val="000000" w:themeColor="text1"/>
          <w:sz w:val="28"/>
          <w:szCs w:val="24"/>
        </w:rPr>
        <w:t>imurel</w:t>
      </w:r>
      <w:proofErr w:type="spellEnd"/>
      <w:r w:rsidRPr="00B23E1C">
        <w:rPr>
          <w:rFonts w:cstheme="minorHAnsi"/>
          <w:b/>
          <w:bCs/>
          <w:color w:val="000000" w:themeColor="text1"/>
          <w:sz w:val="28"/>
          <w:szCs w:val="24"/>
        </w:rPr>
        <w:t>) :</w:t>
      </w:r>
    </w:p>
    <w:p w:rsidR="00277197" w:rsidRPr="00B23E1C" w:rsidRDefault="007A5788" w:rsidP="00CE19DF">
      <w:pPr>
        <w:pStyle w:val="Paragraphedeliste"/>
        <w:numPr>
          <w:ilvl w:val="0"/>
          <w:numId w:val="43"/>
        </w:numPr>
        <w:jc w:val="both"/>
        <w:rPr>
          <w:rFonts w:cstheme="minorHAnsi"/>
          <w:b/>
          <w:bCs/>
          <w:color w:val="000000" w:themeColor="text1"/>
          <w:sz w:val="28"/>
          <w:szCs w:val="24"/>
        </w:rPr>
      </w:pPr>
      <w:proofErr w:type="spellStart"/>
      <w:r w:rsidRPr="00B23E1C">
        <w:rPr>
          <w:rFonts w:cstheme="minorHAnsi"/>
          <w:b/>
          <w:bCs/>
          <w:color w:val="000000" w:themeColor="text1"/>
          <w:sz w:val="28"/>
          <w:szCs w:val="24"/>
        </w:rPr>
        <w:t>C</w:t>
      </w:r>
      <w:r w:rsidR="00277197" w:rsidRPr="00B23E1C">
        <w:rPr>
          <w:rFonts w:cstheme="minorHAnsi"/>
          <w:b/>
          <w:bCs/>
          <w:color w:val="000000" w:themeColor="text1"/>
          <w:sz w:val="28"/>
          <w:szCs w:val="24"/>
        </w:rPr>
        <w:t>yclophosphamide</w:t>
      </w:r>
      <w:proofErr w:type="spellEnd"/>
      <w:r w:rsidR="00277197" w:rsidRPr="00B23E1C">
        <w:rPr>
          <w:rFonts w:cstheme="minorHAnsi"/>
          <w:b/>
          <w:bCs/>
          <w:color w:val="000000" w:themeColor="text1"/>
          <w:sz w:val="28"/>
          <w:szCs w:val="24"/>
        </w:rPr>
        <w:t> :</w:t>
      </w:r>
    </w:p>
    <w:p w:rsidR="004F0266" w:rsidRPr="004D1E41" w:rsidRDefault="004F0266" w:rsidP="004F0266">
      <w:pPr>
        <w:rPr>
          <w:color w:val="FF0000"/>
          <w:sz w:val="32"/>
          <w:szCs w:val="28"/>
        </w:rPr>
      </w:pPr>
      <w:r w:rsidRPr="004D1E41">
        <w:rPr>
          <w:rFonts w:cstheme="minorHAnsi"/>
          <w:b/>
          <w:bCs/>
          <w:color w:val="000000" w:themeColor="text1"/>
          <w:sz w:val="28"/>
          <w:szCs w:val="24"/>
        </w:rPr>
        <w:t>i</w:t>
      </w:r>
      <w:r w:rsidR="004F5FA0" w:rsidRPr="004D1E41">
        <w:rPr>
          <w:rFonts w:cstheme="minorHAnsi"/>
          <w:b/>
          <w:bCs/>
          <w:color w:val="000000" w:themeColor="text1"/>
          <w:sz w:val="28"/>
          <w:szCs w:val="24"/>
        </w:rPr>
        <w:t>- Associations de traitement de fond :</w:t>
      </w:r>
    </w:p>
    <w:p w:rsidR="004F0266" w:rsidRPr="004F0266" w:rsidRDefault="004F0266" w:rsidP="004F0266">
      <w:pPr>
        <w:rPr>
          <w:color w:val="000000" w:themeColor="text1"/>
          <w:sz w:val="24"/>
          <w:szCs w:val="24"/>
        </w:rPr>
      </w:pPr>
      <w:r w:rsidRPr="004F0266">
        <w:rPr>
          <w:color w:val="000000" w:themeColor="text1"/>
          <w:sz w:val="24"/>
          <w:szCs w:val="24"/>
        </w:rPr>
        <w:t xml:space="preserve">Les associations de traitements de fond ont été proposées pour améliorer l’efficacité des mono thérapies notamment en cas de réponse partielle. </w:t>
      </w:r>
    </w:p>
    <w:p w:rsidR="004F0266" w:rsidRPr="004F0266" w:rsidRDefault="004F0266" w:rsidP="004F0266">
      <w:pPr>
        <w:rPr>
          <w:b/>
          <w:bCs/>
          <w:color w:val="000000" w:themeColor="text1"/>
          <w:sz w:val="24"/>
          <w:szCs w:val="24"/>
        </w:rPr>
      </w:pPr>
      <w:r w:rsidRPr="004F0266">
        <w:rPr>
          <w:b/>
          <w:bCs/>
          <w:color w:val="000000" w:themeColor="text1"/>
          <w:sz w:val="24"/>
          <w:szCs w:val="24"/>
        </w:rPr>
        <w:t>MTX-</w:t>
      </w:r>
      <w:proofErr w:type="spellStart"/>
      <w:r w:rsidRPr="004F0266">
        <w:rPr>
          <w:b/>
          <w:bCs/>
          <w:color w:val="000000" w:themeColor="text1"/>
          <w:sz w:val="24"/>
          <w:szCs w:val="24"/>
        </w:rPr>
        <w:t>léflunomide</w:t>
      </w:r>
      <w:proofErr w:type="spellEnd"/>
      <w:r w:rsidRPr="004F0266">
        <w:rPr>
          <w:b/>
          <w:bCs/>
          <w:color w:val="000000" w:themeColor="text1"/>
          <w:sz w:val="24"/>
          <w:szCs w:val="24"/>
        </w:rPr>
        <w:t xml:space="preserve">, </w:t>
      </w:r>
    </w:p>
    <w:p w:rsidR="004F0266" w:rsidRPr="004F0266" w:rsidRDefault="004F0266" w:rsidP="004F0266">
      <w:pPr>
        <w:rPr>
          <w:color w:val="000000" w:themeColor="text1"/>
          <w:sz w:val="24"/>
          <w:szCs w:val="24"/>
        </w:rPr>
      </w:pPr>
      <w:r w:rsidRPr="004F0266">
        <w:rPr>
          <w:b/>
          <w:bCs/>
          <w:color w:val="000000" w:themeColor="text1"/>
          <w:sz w:val="24"/>
          <w:szCs w:val="24"/>
        </w:rPr>
        <w:t>MTX-</w:t>
      </w:r>
      <w:proofErr w:type="spellStart"/>
      <w:r w:rsidRPr="004F0266">
        <w:rPr>
          <w:b/>
          <w:bCs/>
          <w:color w:val="000000" w:themeColor="text1"/>
          <w:sz w:val="24"/>
          <w:szCs w:val="24"/>
        </w:rPr>
        <w:t>sulfasalazine</w:t>
      </w:r>
      <w:proofErr w:type="spellEnd"/>
      <w:r w:rsidRPr="004F0266">
        <w:rPr>
          <w:b/>
          <w:bCs/>
          <w:color w:val="000000" w:themeColor="text1"/>
          <w:sz w:val="24"/>
          <w:szCs w:val="24"/>
        </w:rPr>
        <w:t>-</w:t>
      </w:r>
      <w:proofErr w:type="spellStart"/>
      <w:r w:rsidRPr="004F0266">
        <w:rPr>
          <w:b/>
          <w:bCs/>
          <w:color w:val="000000" w:themeColor="text1"/>
          <w:sz w:val="24"/>
          <w:szCs w:val="24"/>
        </w:rPr>
        <w:t>hydroxychloroquine</w:t>
      </w:r>
      <w:proofErr w:type="spellEnd"/>
      <w:r w:rsidRPr="004F0266">
        <w:rPr>
          <w:color w:val="000000" w:themeColor="text1"/>
          <w:sz w:val="24"/>
          <w:szCs w:val="24"/>
        </w:rPr>
        <w:t xml:space="preserve"> dans les PR établies. </w:t>
      </w:r>
    </w:p>
    <w:p w:rsidR="00C8391F" w:rsidRDefault="00C8391F" w:rsidP="00E02D79">
      <w:pPr>
        <w:rPr>
          <w:b/>
          <w:bCs/>
          <w:sz w:val="28"/>
          <w:szCs w:val="24"/>
        </w:rPr>
      </w:pPr>
      <w:r w:rsidRPr="004F5FA0">
        <w:rPr>
          <w:b/>
          <w:bCs/>
          <w:sz w:val="28"/>
          <w:szCs w:val="24"/>
        </w:rPr>
        <w:t>*Traitement de fond biologique référant (</w:t>
      </w:r>
      <w:proofErr w:type="spellStart"/>
      <w:r w:rsidRPr="004F5FA0">
        <w:rPr>
          <w:b/>
          <w:bCs/>
          <w:sz w:val="28"/>
          <w:szCs w:val="24"/>
        </w:rPr>
        <w:t>boDMARD</w:t>
      </w:r>
      <w:proofErr w:type="spellEnd"/>
      <w:r w:rsidRPr="004F5FA0">
        <w:rPr>
          <w:b/>
          <w:bCs/>
          <w:sz w:val="28"/>
          <w:szCs w:val="24"/>
        </w:rPr>
        <w:t>)</w:t>
      </w:r>
    </w:p>
    <w:p w:rsidR="004F5FA0" w:rsidRPr="004F5FA0" w:rsidRDefault="00FD41A9" w:rsidP="00E02D79">
      <w:pPr>
        <w:rPr>
          <w:b/>
          <w:bCs/>
          <w:sz w:val="28"/>
          <w:szCs w:val="24"/>
        </w:rPr>
      </w:pPr>
      <w:r>
        <w:rPr>
          <w:b/>
          <w:bCs/>
          <w:sz w:val="28"/>
          <w:szCs w:val="24"/>
        </w:rPr>
        <w:t>a- I</w:t>
      </w:r>
      <w:r w:rsidR="004F5FA0">
        <w:rPr>
          <w:b/>
          <w:bCs/>
          <w:sz w:val="28"/>
          <w:szCs w:val="24"/>
        </w:rPr>
        <w:t>nhibiteurs du TNF</w:t>
      </w:r>
      <w:r>
        <w:rPr>
          <w:b/>
          <w:bCs/>
          <w:sz w:val="28"/>
          <w:szCs w:val="24"/>
        </w:rPr>
        <w:t xml:space="preserve"> alpha :</w:t>
      </w:r>
    </w:p>
    <w:p w:rsidR="00C8391F" w:rsidRPr="00FD41A9" w:rsidRDefault="00C8391F" w:rsidP="00C8391F">
      <w:pPr>
        <w:pStyle w:val="Sansinterligne"/>
        <w:spacing w:line="276" w:lineRule="auto"/>
        <w:rPr>
          <w:rFonts w:cs="Calibri"/>
          <w:b/>
          <w:bCs/>
          <w:color w:val="000000" w:themeColor="text1"/>
          <w:sz w:val="24"/>
          <w:szCs w:val="24"/>
        </w:rPr>
      </w:pPr>
      <w:r w:rsidRPr="00FD41A9">
        <w:rPr>
          <w:rFonts w:cs="Calibri"/>
          <w:b/>
          <w:bCs/>
          <w:color w:val="000000" w:themeColor="text1"/>
          <w:sz w:val="24"/>
          <w:szCs w:val="24"/>
        </w:rPr>
        <w:t>Mécanismes d'action :</w:t>
      </w:r>
    </w:p>
    <w:p w:rsidR="00C8391F" w:rsidRPr="00675DA5" w:rsidRDefault="00C8391F" w:rsidP="00CE19DF">
      <w:pPr>
        <w:pStyle w:val="Sansinterligne"/>
        <w:numPr>
          <w:ilvl w:val="0"/>
          <w:numId w:val="15"/>
        </w:numPr>
        <w:spacing w:line="276" w:lineRule="auto"/>
        <w:jc w:val="both"/>
        <w:rPr>
          <w:rFonts w:cs="Calibri"/>
          <w:sz w:val="24"/>
          <w:szCs w:val="24"/>
        </w:rPr>
      </w:pPr>
      <w:r w:rsidRPr="00675DA5">
        <w:rPr>
          <w:rFonts w:cs="Calibri"/>
          <w:sz w:val="24"/>
          <w:szCs w:val="24"/>
        </w:rPr>
        <w:t>Réduisent l'infiltration cellulaire et l'</w:t>
      </w:r>
      <w:r w:rsidR="00FD41A9" w:rsidRPr="00675DA5">
        <w:rPr>
          <w:rFonts w:cs="Calibri"/>
          <w:sz w:val="24"/>
          <w:szCs w:val="24"/>
        </w:rPr>
        <w:t>angiogenèse</w:t>
      </w:r>
      <w:r w:rsidRPr="00675DA5">
        <w:rPr>
          <w:rFonts w:cs="Calibri"/>
          <w:sz w:val="24"/>
          <w:szCs w:val="24"/>
        </w:rPr>
        <w:t>.</w:t>
      </w:r>
    </w:p>
    <w:p w:rsidR="00C8391F" w:rsidRPr="00675DA5" w:rsidRDefault="00C8391F" w:rsidP="00CE19DF">
      <w:pPr>
        <w:pStyle w:val="Sansinterligne"/>
        <w:numPr>
          <w:ilvl w:val="0"/>
          <w:numId w:val="15"/>
        </w:numPr>
        <w:spacing w:line="276" w:lineRule="auto"/>
        <w:jc w:val="both"/>
        <w:rPr>
          <w:rFonts w:cs="Calibri"/>
          <w:sz w:val="24"/>
          <w:szCs w:val="24"/>
        </w:rPr>
      </w:pPr>
      <w:r w:rsidRPr="00675DA5">
        <w:rPr>
          <w:rFonts w:cs="Calibri"/>
          <w:sz w:val="24"/>
          <w:szCs w:val="24"/>
        </w:rPr>
        <w:t>Inhibent la dégradation du cartilage et de l'os par les ostéoclastes et favorisent sa réparation.</w:t>
      </w:r>
    </w:p>
    <w:p w:rsidR="00C8391F" w:rsidRPr="00675DA5" w:rsidRDefault="00C8391F" w:rsidP="00CE19DF">
      <w:pPr>
        <w:pStyle w:val="Sansinterligne"/>
        <w:numPr>
          <w:ilvl w:val="0"/>
          <w:numId w:val="15"/>
        </w:numPr>
        <w:spacing w:line="276" w:lineRule="auto"/>
        <w:jc w:val="both"/>
        <w:rPr>
          <w:rFonts w:cs="Calibri"/>
          <w:sz w:val="24"/>
          <w:szCs w:val="24"/>
        </w:rPr>
      </w:pPr>
      <w:r w:rsidRPr="00675DA5">
        <w:rPr>
          <w:rFonts w:cs="Calibri"/>
          <w:sz w:val="24"/>
          <w:szCs w:val="24"/>
        </w:rPr>
        <w:t>Effet accentué par l'administration d'</w:t>
      </w:r>
      <w:proofErr w:type="spellStart"/>
      <w:r w:rsidRPr="00675DA5">
        <w:rPr>
          <w:rFonts w:cs="Calibri"/>
          <w:sz w:val="24"/>
          <w:szCs w:val="24"/>
        </w:rPr>
        <w:t>ostéoprotegerine</w:t>
      </w:r>
      <w:proofErr w:type="spellEnd"/>
      <w:r w:rsidRPr="00675DA5">
        <w:rPr>
          <w:rFonts w:cs="Calibri"/>
          <w:sz w:val="24"/>
          <w:szCs w:val="24"/>
        </w:rPr>
        <w:t xml:space="preserve"> bloquant l'interaction RANK-RANKL</w:t>
      </w:r>
    </w:p>
    <w:p w:rsidR="00C8391F" w:rsidRPr="00675DA5" w:rsidRDefault="00C8391F" w:rsidP="00CE19DF">
      <w:pPr>
        <w:pStyle w:val="Sansinterligne"/>
        <w:numPr>
          <w:ilvl w:val="0"/>
          <w:numId w:val="15"/>
        </w:numPr>
        <w:spacing w:line="276" w:lineRule="auto"/>
        <w:jc w:val="both"/>
        <w:rPr>
          <w:rFonts w:cs="Calibri"/>
          <w:sz w:val="24"/>
          <w:szCs w:val="24"/>
        </w:rPr>
      </w:pPr>
      <w:r w:rsidRPr="00675DA5">
        <w:rPr>
          <w:rFonts w:cs="Calibri"/>
          <w:sz w:val="24"/>
          <w:szCs w:val="24"/>
        </w:rPr>
        <w:t>Plusieurs produits selon leur mode d'action :</w:t>
      </w:r>
    </w:p>
    <w:p w:rsidR="00C8391F" w:rsidRPr="00675DA5" w:rsidRDefault="00C8391F" w:rsidP="00CE19DF">
      <w:pPr>
        <w:pStyle w:val="Sansinterligne"/>
        <w:numPr>
          <w:ilvl w:val="0"/>
          <w:numId w:val="16"/>
        </w:numPr>
        <w:spacing w:line="276" w:lineRule="auto"/>
        <w:jc w:val="both"/>
        <w:rPr>
          <w:rFonts w:cs="Calibri"/>
          <w:sz w:val="24"/>
          <w:szCs w:val="24"/>
        </w:rPr>
      </w:pPr>
      <w:r w:rsidRPr="00675DA5">
        <w:rPr>
          <w:rFonts w:cs="Calibri"/>
          <w:sz w:val="24"/>
          <w:szCs w:val="24"/>
        </w:rPr>
        <w:t xml:space="preserve">AC chimérique anti-TNFα : </w:t>
      </w:r>
      <w:proofErr w:type="spellStart"/>
      <w:r w:rsidRPr="00675DA5">
        <w:rPr>
          <w:rFonts w:cs="Calibri"/>
          <w:sz w:val="24"/>
          <w:szCs w:val="24"/>
        </w:rPr>
        <w:t>Infliximab</w:t>
      </w:r>
      <w:proofErr w:type="spellEnd"/>
      <w:r w:rsidRPr="00675DA5">
        <w:rPr>
          <w:rFonts w:cs="Calibri"/>
          <w:sz w:val="24"/>
          <w:szCs w:val="24"/>
        </w:rPr>
        <w:t xml:space="preserve"> (</w:t>
      </w:r>
      <w:proofErr w:type="spellStart"/>
      <w:r w:rsidRPr="00675DA5">
        <w:rPr>
          <w:rFonts w:cs="Calibri"/>
          <w:sz w:val="24"/>
          <w:szCs w:val="24"/>
        </w:rPr>
        <w:t>Rémicade</w:t>
      </w:r>
      <w:r w:rsidRPr="00675DA5">
        <w:rPr>
          <w:rFonts w:cs="Calibri"/>
          <w:sz w:val="24"/>
          <w:szCs w:val="24"/>
          <w:vertAlign w:val="superscript"/>
        </w:rPr>
        <w:t>R</w:t>
      </w:r>
      <w:proofErr w:type="spellEnd"/>
      <w:r w:rsidRPr="00675DA5">
        <w:rPr>
          <w:rFonts w:cs="Calibri"/>
          <w:sz w:val="24"/>
          <w:szCs w:val="24"/>
        </w:rPr>
        <w:t>)</w:t>
      </w:r>
    </w:p>
    <w:p w:rsidR="00C8391F" w:rsidRPr="00675DA5" w:rsidRDefault="00C8391F" w:rsidP="00CE19DF">
      <w:pPr>
        <w:pStyle w:val="Sansinterligne"/>
        <w:numPr>
          <w:ilvl w:val="0"/>
          <w:numId w:val="16"/>
        </w:numPr>
        <w:spacing w:line="276" w:lineRule="auto"/>
        <w:jc w:val="both"/>
        <w:rPr>
          <w:rFonts w:cs="Calibri"/>
          <w:sz w:val="24"/>
          <w:szCs w:val="24"/>
        </w:rPr>
      </w:pPr>
      <w:r w:rsidRPr="00675DA5">
        <w:rPr>
          <w:rFonts w:cs="Calibri"/>
          <w:sz w:val="24"/>
          <w:szCs w:val="24"/>
        </w:rPr>
        <w:t xml:space="preserve">AC humain anti-TNFα : </w:t>
      </w:r>
      <w:proofErr w:type="spellStart"/>
      <w:r w:rsidRPr="00675DA5">
        <w:rPr>
          <w:rFonts w:cs="Calibri"/>
          <w:sz w:val="24"/>
          <w:szCs w:val="24"/>
        </w:rPr>
        <w:t>Adalimumabe</w:t>
      </w:r>
      <w:proofErr w:type="spellEnd"/>
      <w:r w:rsidRPr="00675DA5">
        <w:rPr>
          <w:rFonts w:cs="Calibri"/>
          <w:sz w:val="24"/>
          <w:szCs w:val="24"/>
        </w:rPr>
        <w:t xml:space="preserve"> (</w:t>
      </w:r>
      <w:proofErr w:type="spellStart"/>
      <w:r w:rsidRPr="00675DA5">
        <w:rPr>
          <w:rFonts w:cs="Calibri"/>
          <w:sz w:val="24"/>
          <w:szCs w:val="24"/>
        </w:rPr>
        <w:t>Humira</w:t>
      </w:r>
      <w:r w:rsidRPr="00675DA5">
        <w:rPr>
          <w:rFonts w:cs="Calibri"/>
          <w:sz w:val="24"/>
          <w:szCs w:val="24"/>
          <w:vertAlign w:val="superscript"/>
        </w:rPr>
        <w:t>R</w:t>
      </w:r>
      <w:proofErr w:type="spellEnd"/>
      <w:r w:rsidRPr="00675DA5">
        <w:rPr>
          <w:rFonts w:cs="Calibri"/>
          <w:sz w:val="24"/>
          <w:szCs w:val="24"/>
        </w:rPr>
        <w:t>)</w:t>
      </w:r>
    </w:p>
    <w:p w:rsidR="00C8391F" w:rsidRPr="00675DA5" w:rsidRDefault="00C8391F" w:rsidP="00CE19DF">
      <w:pPr>
        <w:pStyle w:val="Sansinterligne"/>
        <w:numPr>
          <w:ilvl w:val="0"/>
          <w:numId w:val="16"/>
        </w:numPr>
        <w:spacing w:line="276" w:lineRule="auto"/>
        <w:jc w:val="both"/>
        <w:rPr>
          <w:rFonts w:cs="Calibri"/>
          <w:sz w:val="24"/>
          <w:szCs w:val="24"/>
        </w:rPr>
      </w:pPr>
      <w:r w:rsidRPr="00675DA5">
        <w:rPr>
          <w:rFonts w:cs="Calibri"/>
          <w:sz w:val="24"/>
          <w:szCs w:val="24"/>
        </w:rPr>
        <w:t xml:space="preserve">Récepteur soluble P75du TNFα : </w:t>
      </w:r>
      <w:proofErr w:type="spellStart"/>
      <w:r w:rsidRPr="00675DA5">
        <w:rPr>
          <w:rFonts w:cs="Calibri"/>
          <w:sz w:val="24"/>
          <w:szCs w:val="24"/>
        </w:rPr>
        <w:t>Etanercept</w:t>
      </w:r>
      <w:proofErr w:type="spellEnd"/>
      <w:r w:rsidRPr="00675DA5">
        <w:rPr>
          <w:rFonts w:cs="Calibri"/>
          <w:sz w:val="24"/>
          <w:szCs w:val="24"/>
        </w:rPr>
        <w:t xml:space="preserve"> (</w:t>
      </w:r>
      <w:proofErr w:type="spellStart"/>
      <w:r w:rsidRPr="00675DA5">
        <w:rPr>
          <w:rFonts w:cs="Calibri"/>
          <w:sz w:val="24"/>
          <w:szCs w:val="24"/>
        </w:rPr>
        <w:t>Enbrel</w:t>
      </w:r>
      <w:r w:rsidRPr="00675DA5">
        <w:rPr>
          <w:rFonts w:cs="Calibri"/>
          <w:sz w:val="24"/>
          <w:szCs w:val="24"/>
          <w:vertAlign w:val="superscript"/>
        </w:rPr>
        <w:t>R</w:t>
      </w:r>
      <w:proofErr w:type="spellEnd"/>
      <w:r w:rsidRPr="00675DA5">
        <w:rPr>
          <w:rFonts w:cs="Calibri"/>
          <w:sz w:val="24"/>
          <w:szCs w:val="24"/>
        </w:rPr>
        <w:t>)</w:t>
      </w:r>
    </w:p>
    <w:p w:rsidR="00C8391F" w:rsidRPr="00675DA5" w:rsidRDefault="00C8391F" w:rsidP="00C8391F">
      <w:pPr>
        <w:spacing w:after="0"/>
        <w:jc w:val="both"/>
        <w:rPr>
          <w:rFonts w:cs="Calibri"/>
          <w:b/>
          <w:bCs/>
          <w:sz w:val="24"/>
          <w:szCs w:val="24"/>
        </w:rPr>
      </w:pPr>
    </w:p>
    <w:p w:rsidR="00C8391F" w:rsidRPr="00FD41A9" w:rsidRDefault="00C8391F" w:rsidP="00C8391F">
      <w:pPr>
        <w:spacing w:after="0" w:line="276" w:lineRule="auto"/>
        <w:jc w:val="both"/>
        <w:rPr>
          <w:rFonts w:cs="Calibri"/>
          <w:b/>
          <w:bCs/>
          <w:color w:val="000000" w:themeColor="text1"/>
          <w:sz w:val="24"/>
          <w:szCs w:val="24"/>
        </w:rPr>
      </w:pPr>
      <w:r>
        <w:rPr>
          <w:rFonts w:cs="Calibri"/>
          <w:b/>
          <w:bCs/>
          <w:sz w:val="24"/>
          <w:szCs w:val="24"/>
        </w:rPr>
        <w:t xml:space="preserve"> </w:t>
      </w:r>
      <w:r w:rsidRPr="00FD41A9">
        <w:rPr>
          <w:rFonts w:cs="Calibri"/>
          <w:b/>
          <w:bCs/>
          <w:color w:val="000000" w:themeColor="text1"/>
          <w:sz w:val="24"/>
          <w:szCs w:val="24"/>
        </w:rPr>
        <w:t>Présentation et mode d'administration :</w:t>
      </w:r>
    </w:p>
    <w:p w:rsidR="00C8391F" w:rsidRPr="00675DA5" w:rsidRDefault="00FD41A9" w:rsidP="00CE19DF">
      <w:pPr>
        <w:pStyle w:val="Paragraphedeliste"/>
        <w:numPr>
          <w:ilvl w:val="0"/>
          <w:numId w:val="20"/>
        </w:numPr>
        <w:spacing w:after="0" w:line="276" w:lineRule="auto"/>
        <w:jc w:val="both"/>
        <w:rPr>
          <w:rFonts w:cs="Calibri"/>
          <w:b/>
          <w:bCs/>
          <w:sz w:val="24"/>
          <w:szCs w:val="24"/>
        </w:rPr>
      </w:pPr>
      <w:proofErr w:type="spellStart"/>
      <w:r w:rsidRPr="00675DA5">
        <w:rPr>
          <w:rFonts w:cs="Calibri"/>
          <w:b/>
          <w:bCs/>
          <w:sz w:val="24"/>
          <w:szCs w:val="24"/>
        </w:rPr>
        <w:t>I</w:t>
      </w:r>
      <w:r w:rsidR="00C8391F" w:rsidRPr="00675DA5">
        <w:rPr>
          <w:rFonts w:cs="Calibri"/>
          <w:b/>
          <w:bCs/>
          <w:sz w:val="24"/>
          <w:szCs w:val="24"/>
        </w:rPr>
        <w:t>nfliximab</w:t>
      </w:r>
      <w:proofErr w:type="spellEnd"/>
      <w:r>
        <w:rPr>
          <w:rFonts w:cs="Calibri"/>
          <w:b/>
          <w:bCs/>
          <w:sz w:val="24"/>
          <w:szCs w:val="24"/>
        </w:rPr>
        <w:t xml:space="preserve"> </w:t>
      </w:r>
      <w:r w:rsidR="00C8391F" w:rsidRPr="00675DA5">
        <w:rPr>
          <w:rFonts w:cs="Calibri"/>
          <w:b/>
          <w:bCs/>
          <w:sz w:val="24"/>
          <w:szCs w:val="24"/>
        </w:rPr>
        <w:t>(</w:t>
      </w:r>
      <w:proofErr w:type="spellStart"/>
      <w:r w:rsidR="00C8391F" w:rsidRPr="00675DA5">
        <w:rPr>
          <w:rFonts w:cs="Calibri"/>
          <w:b/>
          <w:bCs/>
          <w:sz w:val="24"/>
          <w:szCs w:val="24"/>
        </w:rPr>
        <w:t>Rémicade</w:t>
      </w:r>
      <w:r w:rsidR="00C8391F" w:rsidRPr="00675DA5">
        <w:rPr>
          <w:rFonts w:cs="Calibri"/>
          <w:b/>
          <w:bCs/>
          <w:sz w:val="24"/>
          <w:szCs w:val="24"/>
          <w:vertAlign w:val="superscript"/>
        </w:rPr>
        <w:t>R</w:t>
      </w:r>
      <w:proofErr w:type="spellEnd"/>
      <w:r w:rsidR="00C8391F" w:rsidRPr="00675DA5">
        <w:rPr>
          <w:rFonts w:cs="Calibri"/>
          <w:b/>
          <w:bCs/>
          <w:sz w:val="24"/>
          <w:szCs w:val="24"/>
        </w:rPr>
        <w:t>) :</w:t>
      </w:r>
    </w:p>
    <w:p w:rsidR="00C8391F" w:rsidRPr="00675DA5" w:rsidRDefault="00C8391F" w:rsidP="00C8391F">
      <w:pPr>
        <w:spacing w:after="0"/>
        <w:jc w:val="both"/>
        <w:rPr>
          <w:rFonts w:cs="Calibri"/>
          <w:sz w:val="24"/>
          <w:szCs w:val="24"/>
        </w:rPr>
      </w:pPr>
      <w:r w:rsidRPr="00675DA5">
        <w:rPr>
          <w:rFonts w:cs="Calibri"/>
          <w:sz w:val="24"/>
          <w:szCs w:val="24"/>
        </w:rPr>
        <w:lastRenderedPageBreak/>
        <w:t>Anticorps monoclonal chimérique produit par la technique de l’ADN recombinant, constitué d’une fraction variable d’A</w:t>
      </w:r>
      <w:r w:rsidR="00FD41A9">
        <w:rPr>
          <w:rFonts w:cs="Calibri"/>
          <w:sz w:val="24"/>
          <w:szCs w:val="24"/>
        </w:rPr>
        <w:t xml:space="preserve">nticorps </w:t>
      </w:r>
      <w:r w:rsidRPr="00675DA5">
        <w:rPr>
          <w:rFonts w:cs="Calibri"/>
          <w:sz w:val="24"/>
          <w:szCs w:val="24"/>
        </w:rPr>
        <w:t xml:space="preserve">anti-TNFα murine + fraction constante </w:t>
      </w:r>
      <w:proofErr w:type="spellStart"/>
      <w:r w:rsidRPr="00675DA5">
        <w:rPr>
          <w:rFonts w:cs="Calibri"/>
          <w:sz w:val="24"/>
          <w:szCs w:val="24"/>
        </w:rPr>
        <w:t>d’IgG</w:t>
      </w:r>
      <w:proofErr w:type="spellEnd"/>
      <w:r w:rsidRPr="00675DA5">
        <w:rPr>
          <w:rFonts w:cs="Calibri"/>
          <w:sz w:val="24"/>
          <w:szCs w:val="24"/>
        </w:rPr>
        <w:t xml:space="preserve"> humaine qui a une forte affinité pour le TNFα (formes solubles et transmembranaires)</w:t>
      </w:r>
    </w:p>
    <w:p w:rsidR="00C8391F" w:rsidRPr="00675DA5" w:rsidRDefault="00C8391F" w:rsidP="00C8391F">
      <w:pPr>
        <w:spacing w:after="0"/>
        <w:jc w:val="both"/>
        <w:rPr>
          <w:rFonts w:cs="Calibri"/>
          <w:b/>
          <w:bCs/>
          <w:sz w:val="24"/>
          <w:szCs w:val="24"/>
        </w:rPr>
      </w:pPr>
      <w:r w:rsidRPr="00675DA5">
        <w:rPr>
          <w:rFonts w:cs="Calibri"/>
          <w:b/>
          <w:bCs/>
          <w:sz w:val="24"/>
          <w:szCs w:val="24"/>
        </w:rPr>
        <w:t>Présentation:</w:t>
      </w:r>
      <w:r w:rsidRPr="00675DA5">
        <w:rPr>
          <w:rFonts w:cs="Calibri"/>
          <w:sz w:val="24"/>
          <w:szCs w:val="24"/>
        </w:rPr>
        <w:t xml:space="preserve"> flacon en verre contenant 100mg de poudre en granulés blanc lyophilisé pour solution à diluer en perfusion.</w:t>
      </w:r>
    </w:p>
    <w:p w:rsidR="00C8391F" w:rsidRPr="00675DA5" w:rsidRDefault="00C8391F" w:rsidP="00C8391F">
      <w:pPr>
        <w:spacing w:after="0"/>
        <w:jc w:val="both"/>
        <w:rPr>
          <w:rFonts w:cs="Calibri"/>
          <w:sz w:val="24"/>
          <w:szCs w:val="24"/>
        </w:rPr>
      </w:pPr>
      <w:r w:rsidRPr="00675DA5">
        <w:rPr>
          <w:rFonts w:cs="Calibri"/>
          <w:b/>
          <w:bCs/>
          <w:sz w:val="24"/>
          <w:szCs w:val="24"/>
        </w:rPr>
        <w:sym w:font="Wingdings" w:char="F0E0"/>
      </w:r>
      <w:r w:rsidRPr="00675DA5">
        <w:rPr>
          <w:rFonts w:cs="Calibri"/>
          <w:b/>
          <w:bCs/>
          <w:sz w:val="24"/>
          <w:szCs w:val="24"/>
        </w:rPr>
        <w:t>Pharmacocinétique :</w:t>
      </w:r>
      <w:r w:rsidRPr="00675DA5">
        <w:rPr>
          <w:rFonts w:cs="Calibri"/>
          <w:sz w:val="24"/>
          <w:szCs w:val="24"/>
        </w:rPr>
        <w:t xml:space="preserve"> ½ vie de 8-10j</w:t>
      </w:r>
    </w:p>
    <w:p w:rsidR="00C8391F" w:rsidRDefault="00C8391F" w:rsidP="00B83C14">
      <w:pPr>
        <w:pStyle w:val="Paragraphedeliste"/>
        <w:spacing w:after="0"/>
        <w:ind w:left="0"/>
        <w:jc w:val="both"/>
        <w:rPr>
          <w:rFonts w:cs="Calibri"/>
          <w:sz w:val="24"/>
          <w:szCs w:val="24"/>
        </w:rPr>
      </w:pPr>
      <w:r w:rsidRPr="00675DA5">
        <w:rPr>
          <w:rFonts w:cs="Calibri"/>
          <w:sz w:val="24"/>
          <w:szCs w:val="24"/>
        </w:rPr>
        <w:sym w:font="Wingdings" w:char="F0E0"/>
      </w:r>
      <w:r w:rsidRPr="00675DA5">
        <w:rPr>
          <w:rFonts w:cs="Calibri"/>
          <w:b/>
          <w:bCs/>
          <w:sz w:val="24"/>
          <w:szCs w:val="24"/>
        </w:rPr>
        <w:t>Posologie :</w:t>
      </w:r>
      <w:r w:rsidR="00B83C14">
        <w:rPr>
          <w:rFonts w:cs="Calibri"/>
          <w:b/>
          <w:bCs/>
          <w:sz w:val="24"/>
          <w:szCs w:val="24"/>
        </w:rPr>
        <w:t xml:space="preserve"> </w:t>
      </w:r>
      <w:r w:rsidRPr="00675DA5">
        <w:rPr>
          <w:rFonts w:cs="Calibri"/>
          <w:sz w:val="24"/>
          <w:szCs w:val="24"/>
        </w:rPr>
        <w:t xml:space="preserve">3mg/kg dans 250cc de SSI à faire passer en 2 heures à S0, S2, S6 puis toutes les 8 semaines. Associé au MTX  à 7,5mg/semaine (éviter l’apparition </w:t>
      </w:r>
      <w:proofErr w:type="spellStart"/>
      <w:r w:rsidRPr="00675DA5">
        <w:rPr>
          <w:rFonts w:cs="Calibri"/>
          <w:sz w:val="24"/>
          <w:szCs w:val="24"/>
        </w:rPr>
        <w:t>d’Ac</w:t>
      </w:r>
      <w:proofErr w:type="spellEnd"/>
      <w:r w:rsidRPr="00675DA5">
        <w:rPr>
          <w:rFonts w:cs="Calibri"/>
          <w:sz w:val="24"/>
          <w:szCs w:val="24"/>
        </w:rPr>
        <w:t xml:space="preserve"> anti-</w:t>
      </w:r>
      <w:proofErr w:type="spellStart"/>
      <w:r w:rsidRPr="00675DA5">
        <w:rPr>
          <w:rFonts w:cs="Calibri"/>
          <w:sz w:val="24"/>
          <w:szCs w:val="24"/>
        </w:rPr>
        <w:t>infliximab</w:t>
      </w:r>
      <w:proofErr w:type="spellEnd"/>
      <w:r w:rsidRPr="00675DA5">
        <w:rPr>
          <w:rFonts w:cs="Calibri"/>
          <w:sz w:val="24"/>
          <w:szCs w:val="24"/>
        </w:rPr>
        <w:t xml:space="preserve">, et la survenue d’hypersensibilité retardée) </w:t>
      </w:r>
    </w:p>
    <w:p w:rsidR="00B83C14" w:rsidRPr="00675DA5" w:rsidRDefault="00B83C14" w:rsidP="00B83C14">
      <w:pPr>
        <w:pStyle w:val="Paragraphedeliste"/>
        <w:spacing w:after="0"/>
        <w:ind w:left="0"/>
        <w:jc w:val="both"/>
        <w:rPr>
          <w:rFonts w:cs="Calibri"/>
          <w:sz w:val="24"/>
          <w:szCs w:val="24"/>
        </w:rPr>
      </w:pPr>
    </w:p>
    <w:p w:rsidR="00C8391F" w:rsidRDefault="00C8391F" w:rsidP="00CE19DF">
      <w:pPr>
        <w:pStyle w:val="Paragraphedeliste"/>
        <w:numPr>
          <w:ilvl w:val="0"/>
          <w:numId w:val="20"/>
        </w:numPr>
        <w:spacing w:after="0" w:line="276" w:lineRule="auto"/>
        <w:jc w:val="both"/>
        <w:rPr>
          <w:rFonts w:cs="Calibri"/>
          <w:b/>
          <w:bCs/>
          <w:sz w:val="24"/>
          <w:szCs w:val="24"/>
        </w:rPr>
      </w:pPr>
      <w:proofErr w:type="spellStart"/>
      <w:r w:rsidRPr="00675DA5">
        <w:rPr>
          <w:rFonts w:cs="Calibri"/>
          <w:b/>
          <w:bCs/>
          <w:sz w:val="24"/>
          <w:szCs w:val="24"/>
        </w:rPr>
        <w:t>Adalimumab</w:t>
      </w:r>
      <w:proofErr w:type="spellEnd"/>
      <w:r w:rsidRPr="00675DA5">
        <w:rPr>
          <w:rFonts w:cs="Calibri"/>
          <w:b/>
          <w:bCs/>
          <w:sz w:val="24"/>
          <w:szCs w:val="24"/>
        </w:rPr>
        <w:t> </w:t>
      </w:r>
      <w:proofErr w:type="gramStart"/>
      <w:r w:rsidRPr="00675DA5">
        <w:rPr>
          <w:rFonts w:cs="Calibri"/>
          <w:b/>
          <w:bCs/>
          <w:sz w:val="24"/>
          <w:szCs w:val="24"/>
        </w:rPr>
        <w:t>:</w:t>
      </w:r>
      <w:proofErr w:type="spellStart"/>
      <w:r w:rsidRPr="00675DA5">
        <w:rPr>
          <w:rFonts w:cs="Calibri"/>
          <w:b/>
          <w:bCs/>
          <w:sz w:val="24"/>
          <w:szCs w:val="24"/>
        </w:rPr>
        <w:t>Humira</w:t>
      </w:r>
      <w:proofErr w:type="spellEnd"/>
      <w:proofErr w:type="gramEnd"/>
    </w:p>
    <w:p w:rsidR="00C8391F" w:rsidRPr="00675DA5" w:rsidRDefault="00C8391F" w:rsidP="00C8391F">
      <w:pPr>
        <w:spacing w:after="0"/>
        <w:jc w:val="both"/>
        <w:rPr>
          <w:rFonts w:cs="Calibri"/>
          <w:sz w:val="24"/>
          <w:szCs w:val="24"/>
        </w:rPr>
      </w:pPr>
      <w:r w:rsidRPr="00675DA5">
        <w:rPr>
          <w:rFonts w:cs="Calibri"/>
          <w:sz w:val="24"/>
          <w:szCs w:val="24"/>
        </w:rPr>
        <w:sym w:font="Wingdings" w:char="F0E0"/>
      </w:r>
      <w:proofErr w:type="spellStart"/>
      <w:r w:rsidRPr="00675DA5">
        <w:rPr>
          <w:rFonts w:cs="Calibri"/>
          <w:sz w:val="24"/>
          <w:szCs w:val="24"/>
        </w:rPr>
        <w:t>IgG</w:t>
      </w:r>
      <w:proofErr w:type="spellEnd"/>
      <w:r w:rsidRPr="00675DA5">
        <w:rPr>
          <w:rFonts w:cs="Calibri"/>
          <w:sz w:val="24"/>
          <w:szCs w:val="24"/>
        </w:rPr>
        <w:t xml:space="preserve"> Humaine recombinante constitué d’une séquence peptidique 100% humaine qui se lie au TNFα et  bloque son interaction avec ses récepteurs membranaires. </w:t>
      </w:r>
    </w:p>
    <w:p w:rsidR="00C8391F" w:rsidRPr="00675DA5" w:rsidRDefault="00C8391F" w:rsidP="00C8391F">
      <w:pPr>
        <w:spacing w:after="0"/>
        <w:jc w:val="both"/>
        <w:rPr>
          <w:rFonts w:cs="Calibri"/>
          <w:sz w:val="24"/>
          <w:szCs w:val="24"/>
        </w:rPr>
      </w:pPr>
      <w:r w:rsidRPr="00675DA5">
        <w:rPr>
          <w:rFonts w:cs="Calibri"/>
          <w:sz w:val="24"/>
          <w:szCs w:val="24"/>
        </w:rPr>
        <w:sym w:font="Wingdings" w:char="F0E0"/>
      </w:r>
      <w:r w:rsidRPr="00675DA5">
        <w:rPr>
          <w:rFonts w:cs="Calibri"/>
          <w:sz w:val="24"/>
          <w:szCs w:val="24"/>
        </w:rPr>
        <w:t xml:space="preserve">1/2 vie moyenne de 2 semaines </w:t>
      </w:r>
    </w:p>
    <w:p w:rsidR="00C8391F" w:rsidRPr="00675DA5" w:rsidRDefault="00C8391F" w:rsidP="00C8391F">
      <w:pPr>
        <w:spacing w:after="0"/>
        <w:jc w:val="both"/>
        <w:rPr>
          <w:rFonts w:cs="Calibri"/>
          <w:sz w:val="24"/>
          <w:szCs w:val="24"/>
        </w:rPr>
      </w:pPr>
      <w:r w:rsidRPr="00675DA5">
        <w:rPr>
          <w:rFonts w:cs="Calibri"/>
          <w:sz w:val="24"/>
          <w:szCs w:val="24"/>
        </w:rPr>
        <w:sym w:font="Wingdings" w:char="F0E0"/>
      </w:r>
      <w:r w:rsidRPr="00675DA5">
        <w:rPr>
          <w:rFonts w:cs="Calibri"/>
          <w:b/>
          <w:bCs/>
          <w:sz w:val="24"/>
          <w:szCs w:val="24"/>
        </w:rPr>
        <w:t>Présentation :</w:t>
      </w:r>
      <w:r w:rsidRPr="00675DA5">
        <w:rPr>
          <w:rFonts w:cs="Calibri"/>
          <w:sz w:val="24"/>
          <w:szCs w:val="24"/>
        </w:rPr>
        <w:t xml:space="preserve"> seringue de 0,8 ml pré-remplie prête à l’emploi, contenant 40 mg d’</w:t>
      </w:r>
      <w:proofErr w:type="spellStart"/>
      <w:r w:rsidRPr="00675DA5">
        <w:rPr>
          <w:rFonts w:cs="Calibri"/>
          <w:sz w:val="24"/>
          <w:szCs w:val="24"/>
        </w:rPr>
        <w:t>adalimumab</w:t>
      </w:r>
      <w:proofErr w:type="spellEnd"/>
    </w:p>
    <w:p w:rsidR="00C8391F" w:rsidRPr="00675DA5" w:rsidRDefault="00C8391F" w:rsidP="00C8391F">
      <w:pPr>
        <w:spacing w:after="0"/>
        <w:jc w:val="both"/>
        <w:rPr>
          <w:rFonts w:cs="Calibri"/>
          <w:sz w:val="24"/>
          <w:szCs w:val="24"/>
        </w:rPr>
      </w:pPr>
      <w:r w:rsidRPr="00675DA5">
        <w:rPr>
          <w:rFonts w:cs="Calibri"/>
          <w:sz w:val="24"/>
          <w:szCs w:val="24"/>
        </w:rPr>
        <w:sym w:font="Wingdings" w:char="F0E0"/>
      </w:r>
      <w:r w:rsidRPr="00675DA5">
        <w:rPr>
          <w:rFonts w:cs="Calibri"/>
          <w:b/>
          <w:bCs/>
          <w:sz w:val="24"/>
          <w:szCs w:val="24"/>
        </w:rPr>
        <w:t>Posologie en rhumatologie :</w:t>
      </w:r>
      <w:r w:rsidRPr="00675DA5">
        <w:rPr>
          <w:rFonts w:cs="Calibri"/>
          <w:sz w:val="24"/>
          <w:szCs w:val="24"/>
        </w:rPr>
        <w:t xml:space="preserve"> une injection en sous-cutanée toutes les 2 semaines, +/- méthotrexate.</w:t>
      </w:r>
    </w:p>
    <w:p w:rsidR="00C8391F" w:rsidRDefault="00C8391F" w:rsidP="00CE19DF">
      <w:pPr>
        <w:pStyle w:val="Paragraphedeliste"/>
        <w:numPr>
          <w:ilvl w:val="0"/>
          <w:numId w:val="20"/>
        </w:numPr>
        <w:spacing w:after="0" w:line="276" w:lineRule="auto"/>
        <w:jc w:val="both"/>
        <w:rPr>
          <w:rFonts w:cs="Calibri"/>
          <w:b/>
          <w:bCs/>
          <w:sz w:val="24"/>
          <w:szCs w:val="24"/>
        </w:rPr>
      </w:pPr>
      <w:proofErr w:type="spellStart"/>
      <w:r w:rsidRPr="00675DA5">
        <w:rPr>
          <w:rFonts w:cs="Calibri"/>
          <w:b/>
          <w:bCs/>
          <w:sz w:val="24"/>
          <w:szCs w:val="24"/>
        </w:rPr>
        <w:t>Etanercept</w:t>
      </w:r>
      <w:proofErr w:type="spellEnd"/>
      <w:r w:rsidRPr="00675DA5">
        <w:rPr>
          <w:rFonts w:cs="Calibri"/>
          <w:b/>
          <w:bCs/>
          <w:sz w:val="24"/>
          <w:szCs w:val="24"/>
        </w:rPr>
        <w:t xml:space="preserve"> (</w:t>
      </w:r>
      <w:proofErr w:type="spellStart"/>
      <w:r w:rsidRPr="00675DA5">
        <w:rPr>
          <w:rFonts w:cs="Calibri"/>
          <w:b/>
          <w:bCs/>
          <w:sz w:val="24"/>
          <w:szCs w:val="24"/>
        </w:rPr>
        <w:t>Enbrel</w:t>
      </w:r>
      <w:proofErr w:type="spellEnd"/>
      <w:r w:rsidRPr="00675DA5">
        <w:rPr>
          <w:rFonts w:cs="Calibri"/>
          <w:b/>
          <w:bCs/>
          <w:sz w:val="24"/>
          <w:szCs w:val="24"/>
        </w:rPr>
        <w:t>)</w:t>
      </w:r>
    </w:p>
    <w:p w:rsidR="00C8391F" w:rsidRPr="00675DA5" w:rsidRDefault="00C8391F" w:rsidP="00C8391F">
      <w:pPr>
        <w:spacing w:after="0"/>
        <w:jc w:val="both"/>
        <w:rPr>
          <w:rFonts w:cs="Calibri"/>
          <w:sz w:val="24"/>
          <w:szCs w:val="24"/>
        </w:rPr>
      </w:pPr>
      <w:r w:rsidRPr="00675DA5">
        <w:rPr>
          <w:rFonts w:cs="Calibri"/>
          <w:sz w:val="24"/>
          <w:szCs w:val="24"/>
        </w:rPr>
        <w:t xml:space="preserve">Produit par génie génétique et exprimé dans des cellules ovariennes de hamster chinois, dimère d’une protéine chimère génétiquement modifiée obtenu en fusionnant le domaine de liaison extracellulaire du récepteur TNFR2p75 et le domaine </w:t>
      </w:r>
      <w:proofErr w:type="spellStart"/>
      <w:r w:rsidRPr="00675DA5">
        <w:rPr>
          <w:rFonts w:cs="Calibri"/>
          <w:sz w:val="24"/>
          <w:szCs w:val="24"/>
        </w:rPr>
        <w:t>Fc</w:t>
      </w:r>
      <w:proofErr w:type="spellEnd"/>
      <w:r w:rsidRPr="00675DA5">
        <w:rPr>
          <w:rFonts w:cs="Calibri"/>
          <w:sz w:val="24"/>
          <w:szCs w:val="24"/>
        </w:rPr>
        <w:t xml:space="preserve"> de l’IgG1humaine dont la ½ vie est de 70 heures.</w:t>
      </w:r>
    </w:p>
    <w:p w:rsidR="00C8391F" w:rsidRDefault="00C8391F" w:rsidP="00C8391F">
      <w:pPr>
        <w:spacing w:after="0"/>
        <w:jc w:val="both"/>
        <w:rPr>
          <w:rFonts w:cs="Calibri"/>
          <w:sz w:val="24"/>
          <w:szCs w:val="24"/>
        </w:rPr>
      </w:pPr>
      <w:r w:rsidRPr="00675DA5">
        <w:rPr>
          <w:rFonts w:cs="Calibri"/>
          <w:b/>
          <w:bCs/>
          <w:sz w:val="24"/>
          <w:szCs w:val="24"/>
        </w:rPr>
        <w:t>Posologie :</w:t>
      </w:r>
      <w:r w:rsidR="00FD41A9">
        <w:rPr>
          <w:rFonts w:cs="Calibri"/>
          <w:sz w:val="24"/>
          <w:szCs w:val="24"/>
        </w:rPr>
        <w:t xml:space="preserve"> </w:t>
      </w:r>
      <w:r w:rsidRPr="00675DA5">
        <w:rPr>
          <w:rFonts w:cs="Calibri"/>
          <w:sz w:val="24"/>
          <w:szCs w:val="24"/>
        </w:rPr>
        <w:t xml:space="preserve">50 </w:t>
      </w:r>
      <w:r w:rsidR="00046D8B">
        <w:rPr>
          <w:rFonts w:cs="Calibri"/>
          <w:sz w:val="24"/>
          <w:szCs w:val="24"/>
        </w:rPr>
        <w:t>mg/</w:t>
      </w:r>
      <w:r w:rsidR="00FD41A9">
        <w:rPr>
          <w:rFonts w:cs="Calibri"/>
          <w:sz w:val="24"/>
          <w:szCs w:val="24"/>
        </w:rPr>
        <w:t xml:space="preserve">semaine. </w:t>
      </w:r>
    </w:p>
    <w:p w:rsidR="00FD41A9" w:rsidRPr="00675DA5" w:rsidRDefault="00FD41A9" w:rsidP="00C8391F">
      <w:pPr>
        <w:spacing w:after="0"/>
        <w:jc w:val="both"/>
        <w:rPr>
          <w:rFonts w:cs="Calibri"/>
          <w:sz w:val="24"/>
          <w:szCs w:val="24"/>
        </w:rPr>
      </w:pPr>
    </w:p>
    <w:p w:rsidR="00C8391F" w:rsidRPr="00675DA5" w:rsidRDefault="00C8391F" w:rsidP="00CE19DF">
      <w:pPr>
        <w:pStyle w:val="Paragraphedeliste"/>
        <w:numPr>
          <w:ilvl w:val="0"/>
          <w:numId w:val="20"/>
        </w:numPr>
        <w:spacing w:after="0" w:line="276" w:lineRule="auto"/>
        <w:jc w:val="both"/>
        <w:rPr>
          <w:rFonts w:cs="Calibri"/>
          <w:b/>
          <w:bCs/>
          <w:sz w:val="24"/>
          <w:szCs w:val="24"/>
        </w:rPr>
      </w:pPr>
      <w:r w:rsidRPr="00675DA5">
        <w:rPr>
          <w:rFonts w:cs="Calibri"/>
          <w:b/>
          <w:bCs/>
          <w:sz w:val="24"/>
          <w:szCs w:val="24"/>
        </w:rPr>
        <w:t>Autres anti-TNFα :</w:t>
      </w:r>
    </w:p>
    <w:p w:rsidR="00C8391F" w:rsidRDefault="00C8391F" w:rsidP="00CE19DF">
      <w:pPr>
        <w:pStyle w:val="Paragraphedeliste"/>
        <w:numPr>
          <w:ilvl w:val="0"/>
          <w:numId w:val="12"/>
        </w:numPr>
        <w:spacing w:after="0" w:line="276" w:lineRule="auto"/>
        <w:jc w:val="both"/>
        <w:rPr>
          <w:rFonts w:cs="Calibri"/>
          <w:b/>
          <w:bCs/>
          <w:sz w:val="24"/>
          <w:szCs w:val="24"/>
        </w:rPr>
      </w:pPr>
      <w:proofErr w:type="spellStart"/>
      <w:r w:rsidRPr="00675DA5">
        <w:rPr>
          <w:rFonts w:cs="Calibri"/>
          <w:b/>
          <w:bCs/>
          <w:sz w:val="24"/>
          <w:szCs w:val="24"/>
        </w:rPr>
        <w:t>Golimumab</w:t>
      </w:r>
      <w:proofErr w:type="spellEnd"/>
      <w:r w:rsidRPr="00675DA5">
        <w:rPr>
          <w:rFonts w:cs="Calibri"/>
          <w:b/>
          <w:bCs/>
          <w:sz w:val="24"/>
          <w:szCs w:val="24"/>
        </w:rPr>
        <w:t> (</w:t>
      </w:r>
      <w:proofErr w:type="spellStart"/>
      <w:r w:rsidRPr="00675DA5">
        <w:rPr>
          <w:rFonts w:cs="Calibri"/>
          <w:b/>
          <w:bCs/>
          <w:sz w:val="24"/>
          <w:szCs w:val="24"/>
        </w:rPr>
        <w:t>Simponi</w:t>
      </w:r>
      <w:proofErr w:type="spellEnd"/>
      <w:r w:rsidRPr="00675DA5">
        <w:rPr>
          <w:rFonts w:cs="Calibri"/>
          <w:b/>
          <w:bCs/>
          <w:sz w:val="24"/>
          <w:szCs w:val="24"/>
        </w:rPr>
        <w:t>)</w:t>
      </w:r>
    </w:p>
    <w:p w:rsidR="00C8391F" w:rsidRPr="00675DA5" w:rsidRDefault="00C8391F" w:rsidP="00CE19DF">
      <w:pPr>
        <w:pStyle w:val="Paragraphedeliste"/>
        <w:numPr>
          <w:ilvl w:val="0"/>
          <w:numId w:val="12"/>
        </w:numPr>
        <w:spacing w:after="0" w:line="276" w:lineRule="auto"/>
        <w:jc w:val="both"/>
        <w:rPr>
          <w:rFonts w:cs="Calibri"/>
          <w:b/>
          <w:bCs/>
          <w:sz w:val="24"/>
          <w:szCs w:val="24"/>
        </w:rPr>
      </w:pPr>
      <w:proofErr w:type="spellStart"/>
      <w:r w:rsidRPr="00675DA5">
        <w:rPr>
          <w:rFonts w:cs="Calibri"/>
          <w:b/>
          <w:bCs/>
          <w:sz w:val="24"/>
          <w:szCs w:val="24"/>
        </w:rPr>
        <w:t>Certolizumab</w:t>
      </w:r>
      <w:proofErr w:type="spellEnd"/>
      <w:r w:rsidRPr="00675DA5">
        <w:rPr>
          <w:rFonts w:cs="Calibri"/>
          <w:b/>
          <w:bCs/>
          <w:sz w:val="24"/>
          <w:szCs w:val="24"/>
        </w:rPr>
        <w:t xml:space="preserve"> </w:t>
      </w:r>
      <w:proofErr w:type="spellStart"/>
      <w:r w:rsidRPr="00675DA5">
        <w:rPr>
          <w:rFonts w:cs="Calibri"/>
          <w:b/>
          <w:bCs/>
          <w:sz w:val="24"/>
          <w:szCs w:val="24"/>
        </w:rPr>
        <w:t>pégol</w:t>
      </w:r>
      <w:proofErr w:type="spellEnd"/>
      <w:r w:rsidRPr="00675DA5">
        <w:rPr>
          <w:rFonts w:cs="Calibri"/>
          <w:b/>
          <w:bCs/>
          <w:sz w:val="24"/>
          <w:szCs w:val="24"/>
        </w:rPr>
        <w:t xml:space="preserve">  (</w:t>
      </w:r>
      <w:proofErr w:type="spellStart"/>
      <w:r w:rsidRPr="00675DA5">
        <w:rPr>
          <w:rFonts w:cs="Calibri"/>
          <w:b/>
          <w:bCs/>
          <w:sz w:val="24"/>
          <w:szCs w:val="24"/>
        </w:rPr>
        <w:t>Cimzia</w:t>
      </w:r>
      <w:proofErr w:type="spellEnd"/>
      <w:r w:rsidRPr="00675DA5">
        <w:rPr>
          <w:rFonts w:cs="Calibri"/>
          <w:b/>
          <w:bCs/>
          <w:sz w:val="24"/>
          <w:szCs w:val="24"/>
        </w:rPr>
        <w:t>)</w:t>
      </w:r>
    </w:p>
    <w:p w:rsidR="00C8391F" w:rsidRPr="00675DA5" w:rsidRDefault="00634217" w:rsidP="00FD41A9">
      <w:pPr>
        <w:spacing w:after="0" w:line="276" w:lineRule="auto"/>
        <w:jc w:val="both"/>
        <w:rPr>
          <w:rFonts w:cs="Calibri"/>
          <w:sz w:val="24"/>
          <w:szCs w:val="24"/>
        </w:rPr>
      </w:pPr>
      <w:r>
        <w:rPr>
          <w:rFonts w:cs="Calibri"/>
          <w:b/>
          <w:bCs/>
          <w:sz w:val="24"/>
          <w:szCs w:val="24"/>
        </w:rPr>
        <w:t xml:space="preserve">              </w:t>
      </w:r>
    </w:p>
    <w:p w:rsidR="00C8391F" w:rsidRPr="00FD41A9" w:rsidRDefault="004D1E41" w:rsidP="00C8391F">
      <w:pPr>
        <w:spacing w:after="0" w:line="276" w:lineRule="auto"/>
        <w:jc w:val="both"/>
        <w:rPr>
          <w:rFonts w:cs="Calibri"/>
          <w:b/>
          <w:bCs/>
          <w:color w:val="000000" w:themeColor="text1"/>
          <w:sz w:val="24"/>
          <w:szCs w:val="24"/>
        </w:rPr>
      </w:pPr>
      <w:r w:rsidRPr="00FD41A9">
        <w:rPr>
          <w:rFonts w:cs="Calibri"/>
          <w:b/>
          <w:bCs/>
          <w:color w:val="000000" w:themeColor="text1"/>
          <w:sz w:val="24"/>
          <w:szCs w:val="24"/>
        </w:rPr>
        <w:t>Contre-indications</w:t>
      </w:r>
      <w:r w:rsidR="00C8391F" w:rsidRPr="00FD41A9">
        <w:rPr>
          <w:rFonts w:cs="Calibri"/>
          <w:b/>
          <w:bCs/>
          <w:color w:val="000000" w:themeColor="text1"/>
          <w:sz w:val="24"/>
          <w:szCs w:val="24"/>
        </w:rPr>
        <w:t> :</w:t>
      </w:r>
    </w:p>
    <w:p w:rsidR="00C8391F" w:rsidRPr="00675DA5" w:rsidRDefault="00C8391F" w:rsidP="00CE19DF">
      <w:pPr>
        <w:pStyle w:val="Paragraphedeliste"/>
        <w:numPr>
          <w:ilvl w:val="0"/>
          <w:numId w:val="7"/>
        </w:numPr>
        <w:spacing w:after="0" w:line="276" w:lineRule="auto"/>
        <w:jc w:val="both"/>
        <w:rPr>
          <w:rFonts w:cs="Calibri"/>
          <w:b/>
          <w:bCs/>
          <w:sz w:val="24"/>
          <w:szCs w:val="24"/>
        </w:rPr>
      </w:pPr>
      <w:r w:rsidRPr="00675DA5">
        <w:rPr>
          <w:rFonts w:cs="Calibri"/>
          <w:b/>
          <w:bCs/>
          <w:sz w:val="24"/>
          <w:szCs w:val="24"/>
        </w:rPr>
        <w:t>Absolues :</w:t>
      </w:r>
    </w:p>
    <w:p w:rsidR="00C8391F" w:rsidRPr="00675DA5" w:rsidRDefault="00C8391F" w:rsidP="00CE19DF">
      <w:pPr>
        <w:pStyle w:val="Paragraphedeliste"/>
        <w:numPr>
          <w:ilvl w:val="0"/>
          <w:numId w:val="17"/>
        </w:numPr>
        <w:spacing w:after="0" w:line="276" w:lineRule="auto"/>
        <w:jc w:val="both"/>
        <w:rPr>
          <w:rFonts w:cs="Calibri"/>
          <w:sz w:val="24"/>
          <w:szCs w:val="24"/>
        </w:rPr>
      </w:pPr>
      <w:r w:rsidRPr="00675DA5">
        <w:rPr>
          <w:rFonts w:cs="Calibri"/>
          <w:sz w:val="24"/>
          <w:szCs w:val="24"/>
        </w:rPr>
        <w:t>Infections actives aigues ou chroniques (bactériennes, virales, fungiques, parasitaires), en particulier tuberculose, VIH, infection chronique par VHB.</w:t>
      </w:r>
    </w:p>
    <w:p w:rsidR="00C8391F" w:rsidRPr="00675DA5" w:rsidRDefault="00C8391F" w:rsidP="00CE19DF">
      <w:pPr>
        <w:pStyle w:val="Paragraphedeliste"/>
        <w:numPr>
          <w:ilvl w:val="0"/>
          <w:numId w:val="17"/>
        </w:numPr>
        <w:spacing w:after="0" w:line="276" w:lineRule="auto"/>
        <w:jc w:val="both"/>
        <w:rPr>
          <w:rFonts w:cs="Calibri"/>
          <w:sz w:val="24"/>
          <w:szCs w:val="24"/>
        </w:rPr>
      </w:pPr>
      <w:r w:rsidRPr="00675DA5">
        <w:rPr>
          <w:rFonts w:cs="Calibri"/>
          <w:sz w:val="24"/>
          <w:szCs w:val="24"/>
        </w:rPr>
        <w:t>Néoplasie ou hémopathie de moins de 5 ans à potentiel évolutif</w:t>
      </w:r>
    </w:p>
    <w:p w:rsidR="00C8391F" w:rsidRPr="00675DA5" w:rsidRDefault="00C8391F" w:rsidP="00CE19DF">
      <w:pPr>
        <w:pStyle w:val="Paragraphedeliste"/>
        <w:numPr>
          <w:ilvl w:val="0"/>
          <w:numId w:val="17"/>
        </w:numPr>
        <w:spacing w:after="0" w:line="276" w:lineRule="auto"/>
        <w:jc w:val="both"/>
        <w:rPr>
          <w:rFonts w:cs="Calibri"/>
          <w:sz w:val="24"/>
          <w:szCs w:val="24"/>
        </w:rPr>
      </w:pPr>
      <w:r w:rsidRPr="00675DA5">
        <w:rPr>
          <w:rFonts w:cs="Calibri"/>
          <w:sz w:val="24"/>
          <w:szCs w:val="24"/>
        </w:rPr>
        <w:t>Insuffisance cardiaque classe III et IV (NYHA)</w:t>
      </w:r>
    </w:p>
    <w:p w:rsidR="00C8391F" w:rsidRPr="00675DA5" w:rsidRDefault="00C8391F" w:rsidP="00CE19DF">
      <w:pPr>
        <w:pStyle w:val="Paragraphedeliste"/>
        <w:numPr>
          <w:ilvl w:val="0"/>
          <w:numId w:val="17"/>
        </w:numPr>
        <w:spacing w:after="0" w:line="276" w:lineRule="auto"/>
        <w:jc w:val="both"/>
        <w:rPr>
          <w:rFonts w:cs="Calibri"/>
          <w:sz w:val="24"/>
          <w:szCs w:val="24"/>
        </w:rPr>
      </w:pPr>
      <w:r w:rsidRPr="00675DA5">
        <w:rPr>
          <w:rFonts w:cs="Calibri"/>
          <w:sz w:val="24"/>
          <w:szCs w:val="24"/>
        </w:rPr>
        <w:t xml:space="preserve">Maladie </w:t>
      </w:r>
      <w:proofErr w:type="spellStart"/>
      <w:r w:rsidRPr="00675DA5">
        <w:rPr>
          <w:rFonts w:cs="Calibri"/>
          <w:sz w:val="24"/>
          <w:szCs w:val="24"/>
        </w:rPr>
        <w:t>démyélinisante</w:t>
      </w:r>
      <w:proofErr w:type="spellEnd"/>
      <w:r w:rsidRPr="00675DA5">
        <w:rPr>
          <w:rFonts w:cs="Calibri"/>
          <w:sz w:val="24"/>
          <w:szCs w:val="24"/>
        </w:rPr>
        <w:t xml:space="preserve"> et névrite optique</w:t>
      </w:r>
    </w:p>
    <w:p w:rsidR="00C8391F" w:rsidRPr="00675DA5" w:rsidRDefault="00C8391F" w:rsidP="00CE19DF">
      <w:pPr>
        <w:pStyle w:val="Paragraphedeliste"/>
        <w:numPr>
          <w:ilvl w:val="0"/>
          <w:numId w:val="17"/>
        </w:numPr>
        <w:spacing w:after="0" w:line="276" w:lineRule="auto"/>
        <w:jc w:val="both"/>
        <w:rPr>
          <w:rFonts w:cs="Calibri"/>
          <w:sz w:val="24"/>
          <w:szCs w:val="24"/>
        </w:rPr>
      </w:pPr>
      <w:r w:rsidRPr="00675DA5">
        <w:rPr>
          <w:rFonts w:cs="Calibri"/>
          <w:sz w:val="24"/>
          <w:szCs w:val="24"/>
        </w:rPr>
        <w:t>Hypersensibilité à la substance active ou à l’un des constituants</w:t>
      </w:r>
    </w:p>
    <w:p w:rsidR="00C8391F" w:rsidRPr="00675DA5" w:rsidRDefault="00C8391F" w:rsidP="00CE19DF">
      <w:pPr>
        <w:pStyle w:val="Paragraphedeliste"/>
        <w:numPr>
          <w:ilvl w:val="0"/>
          <w:numId w:val="17"/>
        </w:numPr>
        <w:spacing w:after="0" w:line="276" w:lineRule="auto"/>
        <w:jc w:val="both"/>
        <w:rPr>
          <w:rFonts w:cs="Calibri"/>
          <w:sz w:val="24"/>
          <w:szCs w:val="24"/>
        </w:rPr>
      </w:pPr>
      <w:r w:rsidRPr="00675DA5">
        <w:rPr>
          <w:rFonts w:cs="Calibri"/>
          <w:sz w:val="24"/>
          <w:szCs w:val="24"/>
        </w:rPr>
        <w:t>Grossesse ou allaitement±</w:t>
      </w:r>
    </w:p>
    <w:p w:rsidR="00C8391F" w:rsidRPr="00675DA5" w:rsidRDefault="00C8391F" w:rsidP="00CE19DF">
      <w:pPr>
        <w:pStyle w:val="Paragraphedeliste"/>
        <w:numPr>
          <w:ilvl w:val="0"/>
          <w:numId w:val="7"/>
        </w:numPr>
        <w:spacing w:after="0" w:line="276" w:lineRule="auto"/>
        <w:jc w:val="both"/>
        <w:rPr>
          <w:rFonts w:cs="Calibri"/>
          <w:sz w:val="24"/>
          <w:szCs w:val="24"/>
        </w:rPr>
      </w:pPr>
      <w:r w:rsidRPr="00675DA5">
        <w:rPr>
          <w:rFonts w:cs="Calibri"/>
          <w:b/>
          <w:bCs/>
          <w:sz w:val="24"/>
          <w:szCs w:val="24"/>
        </w:rPr>
        <w:t>Relatives :</w:t>
      </w:r>
      <w:r w:rsidRPr="00675DA5">
        <w:rPr>
          <w:rFonts w:cs="Calibri"/>
          <w:sz w:val="24"/>
          <w:szCs w:val="24"/>
        </w:rPr>
        <w:t xml:space="preserve"> Situations comportant un risque infectieux :</w:t>
      </w:r>
    </w:p>
    <w:p w:rsidR="00C8391F" w:rsidRPr="00675DA5" w:rsidRDefault="00C8391F" w:rsidP="00CE19DF">
      <w:pPr>
        <w:pStyle w:val="Paragraphedeliste"/>
        <w:numPr>
          <w:ilvl w:val="0"/>
          <w:numId w:val="8"/>
        </w:numPr>
        <w:spacing w:after="0" w:line="276" w:lineRule="auto"/>
        <w:jc w:val="both"/>
        <w:rPr>
          <w:rFonts w:cs="Calibri"/>
          <w:sz w:val="24"/>
          <w:szCs w:val="24"/>
        </w:rPr>
      </w:pPr>
      <w:r w:rsidRPr="00675DA5">
        <w:rPr>
          <w:rFonts w:cs="Calibri"/>
          <w:sz w:val="24"/>
          <w:szCs w:val="24"/>
        </w:rPr>
        <w:t>Ulcère cutané</w:t>
      </w:r>
    </w:p>
    <w:p w:rsidR="00C8391F" w:rsidRPr="00675DA5" w:rsidRDefault="00C8391F" w:rsidP="00CE19DF">
      <w:pPr>
        <w:pStyle w:val="Paragraphedeliste"/>
        <w:numPr>
          <w:ilvl w:val="0"/>
          <w:numId w:val="8"/>
        </w:numPr>
        <w:spacing w:after="0" w:line="276" w:lineRule="auto"/>
        <w:jc w:val="both"/>
        <w:rPr>
          <w:rFonts w:cs="Calibri"/>
          <w:sz w:val="24"/>
          <w:szCs w:val="24"/>
        </w:rPr>
      </w:pPr>
      <w:r w:rsidRPr="00675DA5">
        <w:rPr>
          <w:rFonts w:cs="Calibri"/>
          <w:sz w:val="24"/>
          <w:szCs w:val="24"/>
        </w:rPr>
        <w:t>Infection chronique</w:t>
      </w:r>
    </w:p>
    <w:p w:rsidR="00C8391F" w:rsidRPr="00675DA5" w:rsidRDefault="00C8391F" w:rsidP="00CE19DF">
      <w:pPr>
        <w:pStyle w:val="Paragraphedeliste"/>
        <w:numPr>
          <w:ilvl w:val="0"/>
          <w:numId w:val="8"/>
        </w:numPr>
        <w:spacing w:after="0" w:line="276" w:lineRule="auto"/>
        <w:jc w:val="both"/>
        <w:rPr>
          <w:rFonts w:cs="Calibri"/>
          <w:sz w:val="24"/>
          <w:szCs w:val="24"/>
        </w:rPr>
      </w:pPr>
      <w:r w:rsidRPr="00675DA5">
        <w:rPr>
          <w:rFonts w:cs="Calibri"/>
          <w:sz w:val="24"/>
          <w:szCs w:val="24"/>
        </w:rPr>
        <w:t>Tuberculose latente non traitée</w:t>
      </w:r>
    </w:p>
    <w:p w:rsidR="00C8391F" w:rsidRPr="00675DA5" w:rsidRDefault="00C8391F" w:rsidP="00CE19DF">
      <w:pPr>
        <w:pStyle w:val="Paragraphedeliste"/>
        <w:numPr>
          <w:ilvl w:val="0"/>
          <w:numId w:val="8"/>
        </w:numPr>
        <w:spacing w:after="0" w:line="276" w:lineRule="auto"/>
        <w:jc w:val="both"/>
        <w:rPr>
          <w:rFonts w:cs="Calibri"/>
          <w:sz w:val="24"/>
          <w:szCs w:val="24"/>
        </w:rPr>
      </w:pPr>
      <w:proofErr w:type="spellStart"/>
      <w:r w:rsidRPr="00675DA5">
        <w:rPr>
          <w:rFonts w:cs="Calibri"/>
          <w:sz w:val="24"/>
          <w:szCs w:val="24"/>
        </w:rPr>
        <w:t>Sepsis</w:t>
      </w:r>
      <w:proofErr w:type="spellEnd"/>
      <w:r w:rsidRPr="00675DA5">
        <w:rPr>
          <w:rFonts w:cs="Calibri"/>
          <w:sz w:val="24"/>
          <w:szCs w:val="24"/>
        </w:rPr>
        <w:t xml:space="preserve"> sur prothèse dans les 12 derniers mois</w:t>
      </w:r>
    </w:p>
    <w:p w:rsidR="00C8391F" w:rsidRPr="00675DA5" w:rsidRDefault="00C8391F" w:rsidP="00CE19DF">
      <w:pPr>
        <w:pStyle w:val="Paragraphedeliste"/>
        <w:numPr>
          <w:ilvl w:val="0"/>
          <w:numId w:val="8"/>
        </w:numPr>
        <w:spacing w:after="0" w:line="276" w:lineRule="auto"/>
        <w:jc w:val="both"/>
        <w:rPr>
          <w:rFonts w:cs="Calibri"/>
          <w:sz w:val="24"/>
          <w:szCs w:val="24"/>
        </w:rPr>
      </w:pPr>
      <w:r w:rsidRPr="00675DA5">
        <w:rPr>
          <w:rFonts w:cs="Calibri"/>
          <w:sz w:val="24"/>
          <w:szCs w:val="24"/>
        </w:rPr>
        <w:lastRenderedPageBreak/>
        <w:t>Cathétérisme urinaire à demeure</w:t>
      </w:r>
    </w:p>
    <w:p w:rsidR="00C8391F" w:rsidRPr="00675DA5" w:rsidRDefault="00C8391F" w:rsidP="00CE19DF">
      <w:pPr>
        <w:pStyle w:val="Paragraphedeliste"/>
        <w:numPr>
          <w:ilvl w:val="0"/>
          <w:numId w:val="8"/>
        </w:numPr>
        <w:spacing w:after="0" w:line="276" w:lineRule="auto"/>
        <w:jc w:val="both"/>
        <w:rPr>
          <w:rFonts w:cs="Calibri"/>
          <w:sz w:val="24"/>
          <w:szCs w:val="24"/>
        </w:rPr>
      </w:pPr>
      <w:r w:rsidRPr="00675DA5">
        <w:rPr>
          <w:rFonts w:cs="Calibri"/>
          <w:sz w:val="24"/>
          <w:szCs w:val="24"/>
        </w:rPr>
        <w:t>Diabète non contrôlé, BPCO</w:t>
      </w:r>
    </w:p>
    <w:p w:rsidR="00C8391F" w:rsidRPr="00675DA5" w:rsidRDefault="00C8391F" w:rsidP="00CE19DF">
      <w:pPr>
        <w:pStyle w:val="Paragraphedeliste"/>
        <w:numPr>
          <w:ilvl w:val="0"/>
          <w:numId w:val="8"/>
        </w:numPr>
        <w:spacing w:after="0" w:line="276" w:lineRule="auto"/>
        <w:jc w:val="both"/>
        <w:rPr>
          <w:rFonts w:cs="Calibri"/>
          <w:sz w:val="24"/>
          <w:szCs w:val="24"/>
        </w:rPr>
      </w:pPr>
      <w:r w:rsidRPr="00675DA5">
        <w:rPr>
          <w:rFonts w:cs="Calibri"/>
          <w:sz w:val="24"/>
          <w:szCs w:val="24"/>
        </w:rPr>
        <w:t>Cancers de plus de 5 ans traités et considérés comme guéris</w:t>
      </w:r>
    </w:p>
    <w:p w:rsidR="00C8391F" w:rsidRPr="00675DA5" w:rsidRDefault="00C8391F" w:rsidP="00CE19DF">
      <w:pPr>
        <w:pStyle w:val="Paragraphedeliste"/>
        <w:numPr>
          <w:ilvl w:val="0"/>
          <w:numId w:val="8"/>
        </w:numPr>
        <w:spacing w:after="0" w:line="276" w:lineRule="auto"/>
        <w:jc w:val="both"/>
        <w:rPr>
          <w:rFonts w:cs="Calibri"/>
          <w:sz w:val="24"/>
          <w:szCs w:val="24"/>
        </w:rPr>
      </w:pPr>
      <w:r w:rsidRPr="00675DA5">
        <w:rPr>
          <w:rFonts w:cs="Calibri"/>
          <w:sz w:val="24"/>
          <w:szCs w:val="24"/>
        </w:rPr>
        <w:t xml:space="preserve">Lésions précancéreuses : polypes coliques ou vésicaux, dysplasies du col de l’utérus, </w:t>
      </w:r>
      <w:proofErr w:type="spellStart"/>
      <w:r w:rsidRPr="00675DA5">
        <w:rPr>
          <w:rFonts w:cs="Calibri"/>
          <w:sz w:val="24"/>
          <w:szCs w:val="24"/>
        </w:rPr>
        <w:t>myélodysplasie</w:t>
      </w:r>
      <w:proofErr w:type="spellEnd"/>
    </w:p>
    <w:p w:rsidR="00C8391F" w:rsidRPr="00675DA5" w:rsidRDefault="00C8391F" w:rsidP="00C8391F">
      <w:pPr>
        <w:spacing w:after="0"/>
        <w:jc w:val="both"/>
        <w:rPr>
          <w:rFonts w:cs="Calibri"/>
          <w:b/>
          <w:bCs/>
          <w:sz w:val="24"/>
          <w:szCs w:val="24"/>
        </w:rPr>
      </w:pPr>
    </w:p>
    <w:p w:rsidR="00C8391F" w:rsidRPr="00FD41A9" w:rsidRDefault="00C8391F" w:rsidP="00C8391F">
      <w:pPr>
        <w:spacing w:after="0" w:line="276" w:lineRule="auto"/>
        <w:jc w:val="both"/>
        <w:rPr>
          <w:rFonts w:cs="Calibri"/>
          <w:b/>
          <w:bCs/>
          <w:color w:val="000000" w:themeColor="text1"/>
          <w:sz w:val="24"/>
          <w:szCs w:val="24"/>
        </w:rPr>
      </w:pPr>
      <w:r w:rsidRPr="00FD41A9">
        <w:rPr>
          <w:rFonts w:cs="Calibri"/>
          <w:b/>
          <w:bCs/>
          <w:color w:val="000000" w:themeColor="text1"/>
          <w:sz w:val="24"/>
          <w:szCs w:val="24"/>
        </w:rPr>
        <w:t>Bilan pré thérapeutique :</w:t>
      </w:r>
    </w:p>
    <w:p w:rsidR="00C8391F" w:rsidRPr="00C8391F" w:rsidRDefault="00C8391F" w:rsidP="00C8391F">
      <w:pPr>
        <w:spacing w:after="0" w:line="276" w:lineRule="auto"/>
        <w:jc w:val="both"/>
        <w:rPr>
          <w:rFonts w:cs="Calibri"/>
          <w:sz w:val="24"/>
          <w:szCs w:val="24"/>
        </w:rPr>
      </w:pPr>
      <w:r w:rsidRPr="00C8391F">
        <w:rPr>
          <w:rFonts w:cs="Calibri"/>
          <w:sz w:val="24"/>
          <w:szCs w:val="24"/>
        </w:rPr>
        <w:t xml:space="preserve"> Eléments cliniques et </w:t>
      </w:r>
      <w:proofErr w:type="spellStart"/>
      <w:r w:rsidRPr="00C8391F">
        <w:rPr>
          <w:rFonts w:cs="Calibri"/>
          <w:sz w:val="24"/>
          <w:szCs w:val="24"/>
        </w:rPr>
        <w:t>paracliniques</w:t>
      </w:r>
      <w:proofErr w:type="spellEnd"/>
      <w:r w:rsidRPr="00C8391F">
        <w:rPr>
          <w:rFonts w:cs="Calibri"/>
          <w:sz w:val="24"/>
          <w:szCs w:val="24"/>
        </w:rPr>
        <w:t xml:space="preserve"> permettant d’éliminer une contre-indication </w:t>
      </w:r>
    </w:p>
    <w:p w:rsidR="00C8391F" w:rsidRPr="00675DA5" w:rsidRDefault="00C8391F" w:rsidP="00CE19DF">
      <w:pPr>
        <w:pStyle w:val="Paragraphedeliste"/>
        <w:numPr>
          <w:ilvl w:val="0"/>
          <w:numId w:val="9"/>
        </w:numPr>
        <w:spacing w:after="0" w:line="276" w:lineRule="auto"/>
        <w:jc w:val="both"/>
        <w:rPr>
          <w:rFonts w:cs="Calibri"/>
          <w:b/>
          <w:bCs/>
          <w:sz w:val="24"/>
          <w:szCs w:val="24"/>
        </w:rPr>
      </w:pPr>
      <w:r w:rsidRPr="00675DA5">
        <w:rPr>
          <w:rFonts w:cs="Calibri"/>
          <w:b/>
          <w:bCs/>
          <w:sz w:val="24"/>
          <w:szCs w:val="24"/>
        </w:rPr>
        <w:t>Clinique :</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ATCDS de cancer : *</w:t>
      </w:r>
      <w:r w:rsidR="000F70A3" w:rsidRPr="00675DA5">
        <w:rPr>
          <w:rFonts w:cs="Calibri"/>
          <w:sz w:val="24"/>
          <w:szCs w:val="24"/>
        </w:rPr>
        <w:t>personnels (KC</w:t>
      </w:r>
      <w:r w:rsidRPr="00675DA5">
        <w:rPr>
          <w:rFonts w:cs="Calibri"/>
          <w:sz w:val="24"/>
          <w:szCs w:val="24"/>
        </w:rPr>
        <w:t xml:space="preserve"> solide, hémopathie, lymphome),*familiaux (</w:t>
      </w:r>
      <w:r w:rsidR="000F70A3" w:rsidRPr="00675DA5">
        <w:rPr>
          <w:rFonts w:cs="Calibri"/>
          <w:sz w:val="24"/>
          <w:szCs w:val="24"/>
        </w:rPr>
        <w:t>KC</w:t>
      </w:r>
      <w:r w:rsidRPr="00675DA5">
        <w:rPr>
          <w:rFonts w:cs="Calibri"/>
          <w:sz w:val="24"/>
          <w:szCs w:val="24"/>
        </w:rPr>
        <w:t xml:space="preserve"> sein, ovaire, polypose)</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Contage tuberculeux personnel ou familial</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ATCD personnel de SEP ou névrite optique</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Dyspnée d’effort</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ATCD personnel d’infection sévère chronique ou récidivante bactérienne ou virale</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Vaccination récente aux vaccins vivants (fièvre jaune, BCG)</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Infection herpétique génitale récidivante, Zona récent</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Grossesse ou désir de grossesse</w:t>
      </w:r>
    </w:p>
    <w:p w:rsidR="00C8391F" w:rsidRPr="00675DA5" w:rsidRDefault="00C8391F" w:rsidP="00CE19DF">
      <w:pPr>
        <w:pStyle w:val="Paragraphedeliste"/>
        <w:numPr>
          <w:ilvl w:val="0"/>
          <w:numId w:val="9"/>
        </w:numPr>
        <w:spacing w:after="0" w:line="276" w:lineRule="auto"/>
        <w:jc w:val="both"/>
        <w:rPr>
          <w:rFonts w:cs="Calibri"/>
          <w:sz w:val="24"/>
          <w:szCs w:val="24"/>
        </w:rPr>
      </w:pPr>
      <w:r w:rsidRPr="00675DA5">
        <w:rPr>
          <w:rFonts w:cs="Calibri"/>
          <w:b/>
          <w:bCs/>
          <w:sz w:val="24"/>
          <w:szCs w:val="24"/>
        </w:rPr>
        <w:t>Examen physique</w:t>
      </w:r>
      <w:r w:rsidRPr="00675DA5">
        <w:rPr>
          <w:rFonts w:cs="Calibri"/>
          <w:sz w:val="24"/>
          <w:szCs w:val="24"/>
        </w:rPr>
        <w:t> : Rechercher</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Hyperthermie, infection, ADP</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Signes d’insuffisance cardiaque décompensée</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Signes en faveur d’une affection auto-immune</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 xml:space="preserve">Signes en faveur d’une affection </w:t>
      </w:r>
      <w:r w:rsidR="000F70A3" w:rsidRPr="00675DA5">
        <w:rPr>
          <w:rFonts w:cs="Calibri"/>
          <w:sz w:val="24"/>
          <w:szCs w:val="24"/>
        </w:rPr>
        <w:t>démyélinisant</w:t>
      </w:r>
    </w:p>
    <w:p w:rsidR="00C8391F" w:rsidRPr="00675DA5" w:rsidRDefault="00C8391F" w:rsidP="00CE19DF">
      <w:pPr>
        <w:pStyle w:val="Paragraphedeliste"/>
        <w:numPr>
          <w:ilvl w:val="0"/>
          <w:numId w:val="6"/>
        </w:numPr>
        <w:spacing w:after="0" w:line="276" w:lineRule="auto"/>
        <w:jc w:val="both"/>
        <w:rPr>
          <w:rFonts w:cs="Calibri"/>
          <w:b/>
          <w:bCs/>
          <w:sz w:val="24"/>
          <w:szCs w:val="24"/>
        </w:rPr>
      </w:pPr>
      <w:r w:rsidRPr="00675DA5">
        <w:rPr>
          <w:rFonts w:cs="Calibri"/>
          <w:sz w:val="24"/>
          <w:szCs w:val="24"/>
        </w:rPr>
        <w:t xml:space="preserve">Signes orientant vers </w:t>
      </w:r>
      <w:proofErr w:type="gramStart"/>
      <w:r w:rsidRPr="00675DA5">
        <w:rPr>
          <w:rFonts w:cs="Calibri"/>
          <w:sz w:val="24"/>
          <w:szCs w:val="24"/>
        </w:rPr>
        <w:t>une</w:t>
      </w:r>
      <w:proofErr w:type="gramEnd"/>
      <w:r w:rsidRPr="00675DA5">
        <w:rPr>
          <w:rFonts w:cs="Calibri"/>
          <w:sz w:val="24"/>
          <w:szCs w:val="24"/>
        </w:rPr>
        <w:t xml:space="preserve"> néoplasie</w:t>
      </w:r>
    </w:p>
    <w:p w:rsidR="00C8391F" w:rsidRPr="00675DA5" w:rsidRDefault="00C8391F" w:rsidP="00CE19DF">
      <w:pPr>
        <w:pStyle w:val="Paragraphedeliste"/>
        <w:numPr>
          <w:ilvl w:val="0"/>
          <w:numId w:val="9"/>
        </w:numPr>
        <w:spacing w:after="0" w:line="276" w:lineRule="auto"/>
        <w:jc w:val="both"/>
        <w:rPr>
          <w:rFonts w:cs="Calibri"/>
          <w:b/>
          <w:bCs/>
          <w:sz w:val="24"/>
          <w:szCs w:val="24"/>
        </w:rPr>
      </w:pPr>
      <w:r w:rsidRPr="00675DA5">
        <w:rPr>
          <w:rFonts w:cs="Calibri"/>
          <w:b/>
          <w:bCs/>
          <w:sz w:val="24"/>
          <w:szCs w:val="24"/>
        </w:rPr>
        <w:t>Examens complémentaires systématiques :</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Hémogramme</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Electrophorèse des protéines sériques</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Transaminases</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Sérologies des hépatites B et C, HIV (accord du patient)</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FAN, anti-DNA natifs</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Radiographie du thorax</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 xml:space="preserve">IDR à la tuberculine (5u) qui doit être &lt;5mm après 72 h, ou négativité du test au </w:t>
      </w:r>
      <w:proofErr w:type="spellStart"/>
      <w:r w:rsidRPr="00675DA5">
        <w:rPr>
          <w:rFonts w:cs="Calibri"/>
          <w:sz w:val="24"/>
          <w:szCs w:val="24"/>
        </w:rPr>
        <w:t>QuantiFERON</w:t>
      </w:r>
      <w:proofErr w:type="spellEnd"/>
      <w:r w:rsidRPr="00675DA5">
        <w:rPr>
          <w:rFonts w:cs="Calibri"/>
          <w:sz w:val="24"/>
          <w:szCs w:val="24"/>
        </w:rPr>
        <w:t xml:space="preserve"> ou T-SPOT-TB</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En fonction de la clinique : panoramique dentaire, radiographie des sinus, ECBU</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 xml:space="preserve">ECG et échocardiographie </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Vaccination anti-</w:t>
      </w:r>
      <w:proofErr w:type="spellStart"/>
      <w:r w:rsidRPr="00675DA5">
        <w:rPr>
          <w:rFonts w:cs="Calibri"/>
          <w:sz w:val="24"/>
          <w:szCs w:val="24"/>
        </w:rPr>
        <w:t>pneumococcique</w:t>
      </w:r>
      <w:proofErr w:type="spellEnd"/>
      <w:r w:rsidRPr="00675DA5">
        <w:rPr>
          <w:rFonts w:cs="Calibri"/>
          <w:sz w:val="24"/>
          <w:szCs w:val="24"/>
        </w:rPr>
        <w:t xml:space="preserve"> et antigrippale chez les sujets à risque</w:t>
      </w:r>
    </w:p>
    <w:p w:rsidR="00C8391F" w:rsidRPr="00675DA5" w:rsidRDefault="00C8391F" w:rsidP="00C8391F">
      <w:pPr>
        <w:pStyle w:val="Paragraphedeliste"/>
        <w:spacing w:after="0"/>
        <w:jc w:val="both"/>
        <w:rPr>
          <w:rFonts w:cs="Calibri"/>
          <w:b/>
          <w:bCs/>
          <w:sz w:val="24"/>
          <w:szCs w:val="24"/>
        </w:rPr>
      </w:pPr>
    </w:p>
    <w:p w:rsidR="00C8391F" w:rsidRPr="00FD41A9" w:rsidRDefault="00C8391F" w:rsidP="00CE19DF">
      <w:pPr>
        <w:pStyle w:val="Paragraphedeliste"/>
        <w:numPr>
          <w:ilvl w:val="0"/>
          <w:numId w:val="20"/>
        </w:numPr>
        <w:spacing w:after="0" w:line="276" w:lineRule="auto"/>
        <w:jc w:val="both"/>
        <w:rPr>
          <w:rFonts w:cs="Calibri"/>
          <w:b/>
          <w:bCs/>
          <w:sz w:val="24"/>
          <w:szCs w:val="24"/>
        </w:rPr>
      </w:pPr>
      <w:r w:rsidRPr="00FD41A9">
        <w:rPr>
          <w:rFonts w:cs="Calibri"/>
          <w:b/>
          <w:bCs/>
          <w:sz w:val="24"/>
          <w:szCs w:val="24"/>
        </w:rPr>
        <w:t>Cas particulier de la tuberculose :</w:t>
      </w:r>
    </w:p>
    <w:p w:rsidR="00C8391F" w:rsidRPr="00675DA5" w:rsidRDefault="00C8391F" w:rsidP="00CE19DF">
      <w:pPr>
        <w:pStyle w:val="Paragraphedeliste"/>
        <w:numPr>
          <w:ilvl w:val="0"/>
          <w:numId w:val="13"/>
        </w:numPr>
        <w:spacing w:after="0" w:line="276" w:lineRule="auto"/>
        <w:jc w:val="both"/>
        <w:rPr>
          <w:rFonts w:cs="Calibri"/>
          <w:sz w:val="24"/>
          <w:szCs w:val="24"/>
        </w:rPr>
      </w:pPr>
      <w:r w:rsidRPr="00675DA5">
        <w:rPr>
          <w:rFonts w:cs="Calibri"/>
          <w:b/>
          <w:bCs/>
          <w:sz w:val="24"/>
          <w:szCs w:val="24"/>
        </w:rPr>
        <w:t>évaluer le risque de tuberculose latente ou active</w:t>
      </w:r>
      <w:r w:rsidRPr="00675DA5">
        <w:rPr>
          <w:rFonts w:cs="Calibri"/>
          <w:sz w:val="24"/>
          <w:szCs w:val="24"/>
        </w:rPr>
        <w:t xml:space="preserve"> : </w:t>
      </w:r>
    </w:p>
    <w:p w:rsidR="00FD41A9" w:rsidRDefault="00FD41A9" w:rsidP="00FD41A9">
      <w:pPr>
        <w:spacing w:after="0" w:line="276" w:lineRule="auto"/>
        <w:jc w:val="both"/>
        <w:rPr>
          <w:rFonts w:cs="Calibri"/>
          <w:sz w:val="24"/>
          <w:szCs w:val="24"/>
        </w:rPr>
      </w:pPr>
    </w:p>
    <w:p w:rsidR="00FD41A9" w:rsidRDefault="00295001" w:rsidP="00CE19DF">
      <w:pPr>
        <w:pStyle w:val="Paragraphedeliste"/>
        <w:numPr>
          <w:ilvl w:val="0"/>
          <w:numId w:val="45"/>
        </w:numPr>
        <w:spacing w:after="0" w:line="276" w:lineRule="auto"/>
        <w:jc w:val="both"/>
        <w:rPr>
          <w:rFonts w:cs="Calibri"/>
          <w:sz w:val="24"/>
          <w:szCs w:val="24"/>
        </w:rPr>
      </w:pPr>
      <w:r w:rsidRPr="00FD41A9">
        <w:rPr>
          <w:rFonts w:cs="Calibri"/>
          <w:sz w:val="24"/>
          <w:szCs w:val="24"/>
        </w:rPr>
        <w:lastRenderedPageBreak/>
        <w:t xml:space="preserve">Interrogatoire </w:t>
      </w:r>
      <w:r w:rsidR="00C8391F" w:rsidRPr="00FD41A9">
        <w:rPr>
          <w:rFonts w:cs="Calibri"/>
          <w:sz w:val="24"/>
          <w:szCs w:val="24"/>
        </w:rPr>
        <w:t>détaillé : vaccination BCG, résultats des IDR antérieures, notion de contage ou d’exposition, ATCDS personnels de tuberculose latente ou active, traitement antituberculeux antérieurs.</w:t>
      </w:r>
    </w:p>
    <w:p w:rsidR="00295001" w:rsidRDefault="00295001" w:rsidP="00CE19DF">
      <w:pPr>
        <w:pStyle w:val="Paragraphedeliste"/>
        <w:numPr>
          <w:ilvl w:val="0"/>
          <w:numId w:val="45"/>
        </w:numPr>
        <w:spacing w:after="0" w:line="276" w:lineRule="auto"/>
        <w:jc w:val="both"/>
        <w:rPr>
          <w:rFonts w:cs="Calibri"/>
          <w:sz w:val="24"/>
          <w:szCs w:val="24"/>
        </w:rPr>
      </w:pPr>
      <w:r w:rsidRPr="00295001">
        <w:rPr>
          <w:rFonts w:cs="Calibri"/>
          <w:sz w:val="24"/>
          <w:szCs w:val="24"/>
        </w:rPr>
        <w:t xml:space="preserve">Recherche </w:t>
      </w:r>
      <w:r w:rsidR="00C8391F" w:rsidRPr="00295001">
        <w:rPr>
          <w:rFonts w:cs="Calibri"/>
          <w:sz w:val="24"/>
          <w:szCs w:val="24"/>
        </w:rPr>
        <w:t>de signes cliniques de tuberculose maladie : signes généraux, pulmonaires ou extra-pulmonaires.</w:t>
      </w:r>
    </w:p>
    <w:p w:rsidR="00295001" w:rsidRDefault="00C8391F" w:rsidP="00CE19DF">
      <w:pPr>
        <w:pStyle w:val="Paragraphedeliste"/>
        <w:numPr>
          <w:ilvl w:val="0"/>
          <w:numId w:val="45"/>
        </w:numPr>
        <w:spacing w:after="0" w:line="276" w:lineRule="auto"/>
        <w:jc w:val="both"/>
        <w:rPr>
          <w:rFonts w:cs="Calibri"/>
          <w:sz w:val="24"/>
          <w:szCs w:val="24"/>
        </w:rPr>
      </w:pPr>
      <w:r w:rsidRPr="00295001">
        <w:rPr>
          <w:rFonts w:cs="Calibri"/>
          <w:sz w:val="24"/>
          <w:szCs w:val="24"/>
        </w:rPr>
        <w:t xml:space="preserve">Examens complémentaires : *radiographies pulmonaires, *TDM thoracique si image tuberculeuse </w:t>
      </w:r>
      <w:proofErr w:type="spellStart"/>
      <w:r w:rsidRPr="00295001">
        <w:rPr>
          <w:rFonts w:cs="Calibri"/>
          <w:sz w:val="24"/>
          <w:szCs w:val="24"/>
        </w:rPr>
        <w:t>séquellaire</w:t>
      </w:r>
      <w:proofErr w:type="spellEnd"/>
      <w:r w:rsidRPr="00295001">
        <w:rPr>
          <w:rFonts w:cs="Calibri"/>
          <w:sz w:val="24"/>
          <w:szCs w:val="24"/>
        </w:rPr>
        <w:t xml:space="preserve">. </w:t>
      </w:r>
    </w:p>
    <w:p w:rsidR="00C8391F" w:rsidRPr="00295001" w:rsidRDefault="00C8391F" w:rsidP="00CE19DF">
      <w:pPr>
        <w:pStyle w:val="Paragraphedeliste"/>
        <w:numPr>
          <w:ilvl w:val="0"/>
          <w:numId w:val="45"/>
        </w:numPr>
        <w:spacing w:after="0" w:line="276" w:lineRule="auto"/>
        <w:jc w:val="both"/>
        <w:rPr>
          <w:rFonts w:cs="Calibri"/>
          <w:sz w:val="24"/>
          <w:szCs w:val="24"/>
        </w:rPr>
      </w:pPr>
      <w:r w:rsidRPr="00295001">
        <w:rPr>
          <w:rFonts w:cs="Calibri"/>
          <w:sz w:val="24"/>
          <w:szCs w:val="24"/>
        </w:rPr>
        <w:t xml:space="preserve">IDR à la tuberculine (5UI de tuberculine = 0,1ml). Si IDR </w:t>
      </w:r>
      <w:proofErr w:type="spellStart"/>
      <w:r w:rsidRPr="00295001">
        <w:rPr>
          <w:rFonts w:cs="Calibri"/>
          <w:sz w:val="24"/>
          <w:szCs w:val="24"/>
        </w:rPr>
        <w:t>phlycténulaire</w:t>
      </w:r>
      <w:proofErr w:type="spellEnd"/>
      <w:r w:rsidRPr="00295001">
        <w:rPr>
          <w:rFonts w:cs="Calibri"/>
          <w:sz w:val="24"/>
          <w:szCs w:val="24"/>
        </w:rPr>
        <w:t xml:space="preserve"> recherche de BK par crachats ou par tubages 3 jours de suite</w:t>
      </w:r>
    </w:p>
    <w:p w:rsidR="00C8391F" w:rsidRPr="00675DA5" w:rsidRDefault="00295001" w:rsidP="00CE19DF">
      <w:pPr>
        <w:pStyle w:val="Paragraphedeliste"/>
        <w:numPr>
          <w:ilvl w:val="0"/>
          <w:numId w:val="13"/>
        </w:numPr>
        <w:spacing w:after="0" w:line="276" w:lineRule="auto"/>
        <w:jc w:val="both"/>
        <w:rPr>
          <w:rFonts w:cs="Calibri"/>
          <w:b/>
          <w:bCs/>
          <w:sz w:val="24"/>
          <w:szCs w:val="24"/>
        </w:rPr>
      </w:pPr>
      <w:r>
        <w:rPr>
          <w:rFonts w:cs="Calibri"/>
          <w:b/>
          <w:bCs/>
          <w:sz w:val="24"/>
          <w:szCs w:val="24"/>
        </w:rPr>
        <w:t>R</w:t>
      </w:r>
      <w:r w:rsidR="00C8391F" w:rsidRPr="00675DA5">
        <w:rPr>
          <w:rFonts w:cs="Calibri"/>
          <w:b/>
          <w:bCs/>
          <w:sz w:val="24"/>
          <w:szCs w:val="24"/>
        </w:rPr>
        <w:t>ésultat du dépistage systématique :</w:t>
      </w:r>
    </w:p>
    <w:p w:rsidR="00C8391F" w:rsidRPr="00675DA5" w:rsidRDefault="00295001" w:rsidP="00C8391F">
      <w:pPr>
        <w:pStyle w:val="Paragraphedeliste"/>
        <w:spacing w:after="0"/>
        <w:ind w:left="0"/>
        <w:jc w:val="both"/>
        <w:rPr>
          <w:rFonts w:cs="Calibri"/>
          <w:sz w:val="24"/>
          <w:szCs w:val="24"/>
        </w:rPr>
      </w:pPr>
      <w:r>
        <w:rPr>
          <w:rFonts w:cs="Calibri"/>
          <w:sz w:val="24"/>
          <w:szCs w:val="24"/>
        </w:rPr>
        <w:t>- C</w:t>
      </w:r>
      <w:r w:rsidR="00C8391F" w:rsidRPr="00675DA5">
        <w:rPr>
          <w:rFonts w:cs="Calibri"/>
          <w:sz w:val="24"/>
          <w:szCs w:val="24"/>
        </w:rPr>
        <w:t>ontage formel avec un tuberculeux</w:t>
      </w:r>
    </w:p>
    <w:p w:rsidR="00C8391F" w:rsidRPr="00675DA5" w:rsidRDefault="00C8391F" w:rsidP="00C8391F">
      <w:pPr>
        <w:spacing w:after="0"/>
        <w:jc w:val="both"/>
        <w:rPr>
          <w:rFonts w:cs="Calibri"/>
          <w:sz w:val="24"/>
          <w:szCs w:val="24"/>
        </w:rPr>
      </w:pPr>
      <w:r w:rsidRPr="00675DA5">
        <w:rPr>
          <w:rFonts w:cs="Calibri"/>
          <w:sz w:val="24"/>
          <w:szCs w:val="24"/>
        </w:rPr>
        <w:t>- IDR&gt;5mm après contact avec une personne atteinte (primo-infection)</w:t>
      </w:r>
    </w:p>
    <w:p w:rsidR="00C8391F" w:rsidRPr="00675DA5" w:rsidRDefault="00C8391F" w:rsidP="00C8391F">
      <w:pPr>
        <w:spacing w:after="0"/>
        <w:jc w:val="both"/>
        <w:rPr>
          <w:rFonts w:cs="Calibri"/>
          <w:sz w:val="24"/>
          <w:szCs w:val="24"/>
        </w:rPr>
      </w:pPr>
      <w:r w:rsidRPr="00675DA5">
        <w:rPr>
          <w:rFonts w:cs="Calibri"/>
          <w:sz w:val="24"/>
          <w:szCs w:val="24"/>
        </w:rPr>
        <w:t xml:space="preserve">- </w:t>
      </w:r>
      <w:r w:rsidR="00295001">
        <w:rPr>
          <w:rFonts w:cs="Calibri"/>
          <w:sz w:val="24"/>
          <w:szCs w:val="24"/>
        </w:rPr>
        <w:t>T</w:t>
      </w:r>
      <w:r w:rsidRPr="00675DA5">
        <w:rPr>
          <w:rFonts w:cs="Calibri"/>
          <w:sz w:val="24"/>
          <w:szCs w:val="24"/>
        </w:rPr>
        <w:t xml:space="preserve">uberculose ancienne à priori mal traitée, IDR&gt;5mm à distance du BCG ou </w:t>
      </w:r>
      <w:proofErr w:type="spellStart"/>
      <w:r w:rsidRPr="00675DA5">
        <w:rPr>
          <w:rFonts w:cs="Calibri"/>
          <w:sz w:val="24"/>
          <w:szCs w:val="24"/>
        </w:rPr>
        <w:t>phlycténulaire</w:t>
      </w:r>
      <w:proofErr w:type="spellEnd"/>
      <w:r w:rsidRPr="00675DA5">
        <w:rPr>
          <w:rFonts w:cs="Calibri"/>
          <w:sz w:val="24"/>
          <w:szCs w:val="24"/>
        </w:rPr>
        <w:sym w:font="Wingdings" w:char="F0E0"/>
      </w:r>
      <w:r w:rsidRPr="00675DA5">
        <w:rPr>
          <w:rFonts w:cs="Calibri"/>
          <w:sz w:val="24"/>
          <w:szCs w:val="24"/>
        </w:rPr>
        <w:t xml:space="preserve"> tuberculose latente</w:t>
      </w:r>
      <w:r w:rsidRPr="00675DA5">
        <w:rPr>
          <w:rFonts w:cs="Calibri"/>
          <w:sz w:val="24"/>
          <w:szCs w:val="24"/>
        </w:rPr>
        <w:sym w:font="Wingdings" w:char="F0E0"/>
      </w:r>
      <w:r w:rsidRPr="00675DA5">
        <w:rPr>
          <w:rFonts w:cs="Calibri"/>
          <w:sz w:val="24"/>
          <w:szCs w:val="24"/>
        </w:rPr>
        <w:t xml:space="preserve"> instaurer une </w:t>
      </w:r>
      <w:proofErr w:type="spellStart"/>
      <w:r w:rsidRPr="00675DA5">
        <w:rPr>
          <w:rFonts w:cs="Calibri"/>
          <w:sz w:val="24"/>
          <w:szCs w:val="24"/>
        </w:rPr>
        <w:t>chimioprophylaxie</w:t>
      </w:r>
      <w:proofErr w:type="spellEnd"/>
      <w:r w:rsidRPr="00675DA5">
        <w:rPr>
          <w:rFonts w:cs="Calibri"/>
          <w:sz w:val="24"/>
          <w:szCs w:val="24"/>
        </w:rPr>
        <w:t xml:space="preserve"> durant 3 mois et l’</w:t>
      </w:r>
      <w:proofErr w:type="spellStart"/>
      <w:r w:rsidRPr="00675DA5">
        <w:rPr>
          <w:rFonts w:cs="Calibri"/>
          <w:sz w:val="24"/>
          <w:szCs w:val="24"/>
        </w:rPr>
        <w:t>antiTNF</w:t>
      </w:r>
      <w:proofErr w:type="spellEnd"/>
      <w:r w:rsidRPr="00675DA5">
        <w:rPr>
          <w:rFonts w:cs="Calibri"/>
          <w:sz w:val="24"/>
          <w:szCs w:val="24"/>
        </w:rPr>
        <w:t xml:space="preserve"> sera débuté après 3 semaines</w:t>
      </w:r>
    </w:p>
    <w:p w:rsidR="00C8391F" w:rsidRPr="00675DA5" w:rsidRDefault="00C8391F" w:rsidP="00C8391F">
      <w:pPr>
        <w:spacing w:after="0"/>
        <w:jc w:val="both"/>
        <w:rPr>
          <w:rFonts w:cs="Calibri"/>
          <w:sz w:val="24"/>
          <w:szCs w:val="24"/>
        </w:rPr>
      </w:pPr>
      <w:r w:rsidRPr="00675DA5">
        <w:rPr>
          <w:rFonts w:cs="Calibri"/>
          <w:sz w:val="24"/>
          <w:szCs w:val="24"/>
        </w:rPr>
        <w:t>Recommandations nationales</w:t>
      </w:r>
    </w:p>
    <w:p w:rsidR="00C8391F" w:rsidRPr="00675DA5" w:rsidRDefault="00C8391F" w:rsidP="00C8391F">
      <w:pPr>
        <w:spacing w:after="0"/>
        <w:jc w:val="both"/>
        <w:rPr>
          <w:rFonts w:cs="Calibri"/>
          <w:sz w:val="24"/>
          <w:szCs w:val="24"/>
        </w:rPr>
      </w:pPr>
      <w:r w:rsidRPr="00675DA5">
        <w:rPr>
          <w:rFonts w:cs="Calibri"/>
          <w:sz w:val="24"/>
          <w:szCs w:val="24"/>
        </w:rPr>
        <w:t>-IDR : 0-5 mm</w:t>
      </w:r>
      <w:r w:rsidRPr="00675DA5">
        <w:rPr>
          <w:rFonts w:cs="Calibri"/>
          <w:sz w:val="24"/>
          <w:szCs w:val="24"/>
        </w:rPr>
        <w:sym w:font="Wingdings" w:char="F0E0"/>
      </w:r>
      <w:r w:rsidRPr="00675DA5">
        <w:rPr>
          <w:rFonts w:cs="Calibri"/>
          <w:sz w:val="24"/>
          <w:szCs w:val="24"/>
        </w:rPr>
        <w:t>débuter le traitement par anti-TNF</w:t>
      </w:r>
    </w:p>
    <w:p w:rsidR="00C8391F" w:rsidRPr="00675DA5" w:rsidRDefault="00C8391F" w:rsidP="00C8391F">
      <w:pPr>
        <w:spacing w:after="0"/>
        <w:jc w:val="both"/>
        <w:rPr>
          <w:rFonts w:cs="Calibri"/>
          <w:sz w:val="24"/>
          <w:szCs w:val="24"/>
        </w:rPr>
      </w:pPr>
      <w:r w:rsidRPr="00675DA5">
        <w:rPr>
          <w:rFonts w:cs="Calibri"/>
          <w:sz w:val="24"/>
          <w:szCs w:val="24"/>
        </w:rPr>
        <w:t>-IDR : 6-14 mm : selon statut vaccinal</w:t>
      </w:r>
    </w:p>
    <w:p w:rsidR="00C8391F" w:rsidRPr="00675DA5" w:rsidRDefault="00C8391F" w:rsidP="00CE19DF">
      <w:pPr>
        <w:pStyle w:val="Paragraphedeliste"/>
        <w:numPr>
          <w:ilvl w:val="0"/>
          <w:numId w:val="14"/>
        </w:numPr>
        <w:spacing w:after="0" w:line="276" w:lineRule="auto"/>
        <w:jc w:val="both"/>
        <w:rPr>
          <w:rFonts w:cs="Calibri"/>
          <w:sz w:val="24"/>
          <w:szCs w:val="24"/>
        </w:rPr>
      </w:pPr>
      <w:r w:rsidRPr="00675DA5">
        <w:rPr>
          <w:rFonts w:cs="Calibri"/>
          <w:sz w:val="24"/>
          <w:szCs w:val="24"/>
        </w:rPr>
        <w:t xml:space="preserve">sujet vacciné : </w:t>
      </w:r>
      <w:r w:rsidR="000F70A3" w:rsidRPr="00675DA5">
        <w:rPr>
          <w:rFonts w:cs="Calibri"/>
          <w:sz w:val="24"/>
          <w:szCs w:val="24"/>
        </w:rPr>
        <w:t>débuté</w:t>
      </w:r>
      <w:r w:rsidRPr="00675DA5">
        <w:rPr>
          <w:rFonts w:cs="Calibri"/>
          <w:sz w:val="24"/>
          <w:szCs w:val="24"/>
        </w:rPr>
        <w:t xml:space="preserve"> l’anti-TNF, surveillance et contrôle après 3 mois</w:t>
      </w:r>
    </w:p>
    <w:p w:rsidR="00C8391F" w:rsidRPr="00675DA5" w:rsidRDefault="00C8391F" w:rsidP="00CE19DF">
      <w:pPr>
        <w:pStyle w:val="Paragraphedeliste"/>
        <w:numPr>
          <w:ilvl w:val="0"/>
          <w:numId w:val="14"/>
        </w:numPr>
        <w:spacing w:after="0" w:line="276" w:lineRule="auto"/>
        <w:jc w:val="both"/>
        <w:rPr>
          <w:rFonts w:cs="Calibri"/>
          <w:sz w:val="24"/>
          <w:szCs w:val="24"/>
        </w:rPr>
      </w:pPr>
      <w:r w:rsidRPr="00675DA5">
        <w:rPr>
          <w:rFonts w:cs="Calibri"/>
          <w:sz w:val="24"/>
          <w:szCs w:val="24"/>
        </w:rPr>
        <w:t>non vacciné : traitement par INH </w:t>
      </w:r>
    </w:p>
    <w:p w:rsidR="00C8391F" w:rsidRPr="00675DA5" w:rsidRDefault="00046D8B" w:rsidP="00C8391F">
      <w:pPr>
        <w:spacing w:after="0"/>
        <w:jc w:val="both"/>
        <w:rPr>
          <w:rFonts w:cs="Calibri"/>
          <w:sz w:val="24"/>
          <w:szCs w:val="24"/>
        </w:rPr>
      </w:pPr>
      <w:r>
        <w:rPr>
          <w:rFonts w:cs="Calibri"/>
          <w:sz w:val="24"/>
          <w:szCs w:val="24"/>
        </w:rPr>
        <w:t xml:space="preserve">-IDR&gt;14mm : </w:t>
      </w:r>
      <w:r w:rsidRPr="00675DA5">
        <w:rPr>
          <w:rFonts w:cs="Calibri"/>
          <w:sz w:val="24"/>
          <w:szCs w:val="24"/>
        </w:rPr>
        <w:t>traitement par INH </w:t>
      </w:r>
    </w:p>
    <w:p w:rsidR="00C8391F" w:rsidRPr="00675DA5" w:rsidRDefault="00295001" w:rsidP="00C8391F">
      <w:pPr>
        <w:spacing w:after="0"/>
        <w:jc w:val="both"/>
        <w:rPr>
          <w:rFonts w:cs="Calibri"/>
          <w:sz w:val="24"/>
          <w:szCs w:val="24"/>
        </w:rPr>
      </w:pPr>
      <w:r>
        <w:rPr>
          <w:rFonts w:cs="Calibri"/>
          <w:sz w:val="24"/>
          <w:szCs w:val="24"/>
        </w:rPr>
        <w:t>-E</w:t>
      </w:r>
      <w:r w:rsidR="00C8391F" w:rsidRPr="00675DA5">
        <w:rPr>
          <w:rFonts w:cs="Calibri"/>
          <w:sz w:val="24"/>
          <w:szCs w:val="24"/>
        </w:rPr>
        <w:t>n cas de signes cliniques : asthénie, toux, amaigrissement, fièvre</w:t>
      </w:r>
      <w:r w:rsidR="00C8391F" w:rsidRPr="00675DA5">
        <w:rPr>
          <w:rFonts w:cs="Calibri"/>
          <w:sz w:val="24"/>
          <w:szCs w:val="24"/>
        </w:rPr>
        <w:sym w:font="Wingdings" w:char="F0E0"/>
      </w:r>
      <w:r w:rsidR="00C8391F" w:rsidRPr="00675DA5">
        <w:rPr>
          <w:rFonts w:cs="Calibri"/>
          <w:sz w:val="24"/>
          <w:szCs w:val="24"/>
        </w:rPr>
        <w:t>tuberculose active</w:t>
      </w:r>
      <w:r w:rsidR="00C8391F" w:rsidRPr="00675DA5">
        <w:rPr>
          <w:rFonts w:cs="Calibri"/>
          <w:sz w:val="24"/>
          <w:szCs w:val="24"/>
        </w:rPr>
        <w:sym w:font="Wingdings" w:char="F0E0"/>
      </w:r>
      <w:r w:rsidR="00C8391F" w:rsidRPr="00675DA5">
        <w:rPr>
          <w:rFonts w:cs="Calibri"/>
          <w:sz w:val="24"/>
          <w:szCs w:val="24"/>
        </w:rPr>
        <w:t xml:space="preserve"> traitement curatif antituberculeux, l’anti-TNFα sera instauré à la fin du traitement </w:t>
      </w:r>
      <w:proofErr w:type="spellStart"/>
      <w:r w:rsidR="00C8391F" w:rsidRPr="00675DA5">
        <w:rPr>
          <w:rFonts w:cs="Calibri"/>
          <w:sz w:val="24"/>
          <w:szCs w:val="24"/>
        </w:rPr>
        <w:t>anti-tuberculeux</w:t>
      </w:r>
      <w:proofErr w:type="spellEnd"/>
    </w:p>
    <w:p w:rsidR="00C8391F" w:rsidRDefault="00C8391F" w:rsidP="00C8391F">
      <w:pPr>
        <w:spacing w:after="0" w:line="276" w:lineRule="auto"/>
        <w:jc w:val="both"/>
        <w:rPr>
          <w:rFonts w:cs="Calibri"/>
          <w:b/>
          <w:bCs/>
          <w:sz w:val="24"/>
          <w:szCs w:val="24"/>
        </w:rPr>
      </w:pPr>
    </w:p>
    <w:p w:rsidR="00C8391F" w:rsidRPr="00295001" w:rsidRDefault="00C8391F" w:rsidP="00C8391F">
      <w:pPr>
        <w:spacing w:after="0" w:line="276" w:lineRule="auto"/>
        <w:jc w:val="both"/>
        <w:rPr>
          <w:rFonts w:cs="Calibri"/>
          <w:b/>
          <w:bCs/>
          <w:color w:val="000000" w:themeColor="text1"/>
          <w:sz w:val="24"/>
          <w:szCs w:val="24"/>
        </w:rPr>
      </w:pPr>
      <w:r w:rsidRPr="00295001">
        <w:rPr>
          <w:rFonts w:cs="Calibri"/>
          <w:b/>
          <w:bCs/>
          <w:color w:val="000000" w:themeColor="text1"/>
          <w:sz w:val="24"/>
          <w:szCs w:val="24"/>
        </w:rPr>
        <w:t>Effets indésirables :</w:t>
      </w:r>
    </w:p>
    <w:p w:rsidR="00C8391F" w:rsidRPr="00675DA5" w:rsidRDefault="00C8391F" w:rsidP="00CE19DF">
      <w:pPr>
        <w:pStyle w:val="Paragraphedeliste"/>
        <w:numPr>
          <w:ilvl w:val="0"/>
          <w:numId w:val="11"/>
        </w:numPr>
        <w:spacing w:after="200" w:line="276" w:lineRule="auto"/>
        <w:rPr>
          <w:rFonts w:cs="Calibri"/>
          <w:sz w:val="24"/>
          <w:szCs w:val="24"/>
        </w:rPr>
      </w:pPr>
      <w:r w:rsidRPr="00675DA5">
        <w:rPr>
          <w:rFonts w:cs="Calibri"/>
          <w:b/>
          <w:bCs/>
          <w:sz w:val="24"/>
          <w:szCs w:val="24"/>
        </w:rPr>
        <w:t>Effets locaux :</w:t>
      </w:r>
      <w:r w:rsidRPr="00675DA5">
        <w:rPr>
          <w:rFonts w:cs="Calibri"/>
          <w:sz w:val="24"/>
          <w:szCs w:val="24"/>
        </w:rPr>
        <w:t xml:space="preserve"> douleur au point d’injection, prurit, rougeur, hématome (observés avec les produits en sous-cutanés)</w:t>
      </w:r>
    </w:p>
    <w:p w:rsidR="00C8391F" w:rsidRPr="00C8391F" w:rsidRDefault="00C8391F" w:rsidP="00CE19DF">
      <w:pPr>
        <w:pStyle w:val="Paragraphedeliste"/>
        <w:numPr>
          <w:ilvl w:val="0"/>
          <w:numId w:val="11"/>
        </w:numPr>
        <w:spacing w:after="200" w:line="276" w:lineRule="auto"/>
        <w:jc w:val="both"/>
        <w:rPr>
          <w:rFonts w:cs="Calibri"/>
          <w:sz w:val="24"/>
          <w:szCs w:val="24"/>
        </w:rPr>
      </w:pPr>
      <w:r w:rsidRPr="00C8391F">
        <w:rPr>
          <w:rFonts w:cs="Calibri"/>
          <w:b/>
          <w:bCs/>
          <w:sz w:val="24"/>
          <w:szCs w:val="24"/>
        </w:rPr>
        <w:t>Effets généraux</w:t>
      </w:r>
      <w:r w:rsidRPr="00C8391F">
        <w:rPr>
          <w:rFonts w:cs="Calibri"/>
          <w:sz w:val="24"/>
          <w:szCs w:val="24"/>
        </w:rPr>
        <w:t> : Des réactions généralisées ont été décrites avec l’</w:t>
      </w:r>
      <w:proofErr w:type="spellStart"/>
      <w:r w:rsidRPr="00C8391F">
        <w:rPr>
          <w:rFonts w:cs="Calibri"/>
          <w:sz w:val="24"/>
          <w:szCs w:val="24"/>
        </w:rPr>
        <w:t>infliximab</w:t>
      </w:r>
      <w:proofErr w:type="spellEnd"/>
      <w:r w:rsidRPr="00C8391F">
        <w:rPr>
          <w:rFonts w:cs="Calibri"/>
          <w:sz w:val="24"/>
          <w:szCs w:val="24"/>
        </w:rPr>
        <w:t xml:space="preserve"> durant la perfusion ou dans les 2 heures qui la suivent , après l’une des 3 premières perfusions, avec céphalées, fièvre, frissons, nausées, réactions vagales, prurit, urticaire, réaction cardio-pulmonaire. réaction d’hypersensibilité retardée (3 à 12 j) myalgies, arthralgies.</w:t>
      </w:r>
    </w:p>
    <w:p w:rsidR="00C8391F" w:rsidRPr="00675DA5" w:rsidRDefault="00C8391F" w:rsidP="00CE19DF">
      <w:pPr>
        <w:pStyle w:val="Paragraphedeliste"/>
        <w:numPr>
          <w:ilvl w:val="0"/>
          <w:numId w:val="18"/>
        </w:numPr>
        <w:spacing w:after="0" w:line="276" w:lineRule="auto"/>
        <w:jc w:val="both"/>
        <w:rPr>
          <w:rFonts w:cs="Calibri"/>
          <w:sz w:val="24"/>
          <w:szCs w:val="24"/>
        </w:rPr>
      </w:pPr>
      <w:r w:rsidRPr="00675DA5">
        <w:rPr>
          <w:rFonts w:cs="Calibri"/>
          <w:sz w:val="24"/>
          <w:szCs w:val="24"/>
        </w:rPr>
        <w:t>Infections : elles ont été décrites avec tous les anti-TNFα, infections bactériennes, virales et mycosiques, opportunistes.</w:t>
      </w:r>
    </w:p>
    <w:p w:rsidR="00C8391F" w:rsidRPr="00675DA5" w:rsidRDefault="00C8391F" w:rsidP="00CE19DF">
      <w:pPr>
        <w:pStyle w:val="Paragraphedeliste"/>
        <w:numPr>
          <w:ilvl w:val="0"/>
          <w:numId w:val="18"/>
        </w:numPr>
        <w:spacing w:after="0" w:line="276" w:lineRule="auto"/>
        <w:jc w:val="both"/>
        <w:rPr>
          <w:rFonts w:cs="Calibri"/>
          <w:sz w:val="24"/>
          <w:szCs w:val="24"/>
        </w:rPr>
      </w:pPr>
      <w:r w:rsidRPr="00675DA5">
        <w:rPr>
          <w:rFonts w:cs="Calibri"/>
          <w:sz w:val="24"/>
          <w:szCs w:val="24"/>
        </w:rPr>
        <w:t xml:space="preserve">Zona, plus fréquents avec les </w:t>
      </w:r>
      <w:proofErr w:type="spellStart"/>
      <w:r w:rsidRPr="00675DA5">
        <w:rPr>
          <w:rFonts w:cs="Calibri"/>
          <w:sz w:val="24"/>
          <w:szCs w:val="24"/>
        </w:rPr>
        <w:t>Ac</w:t>
      </w:r>
      <w:proofErr w:type="spellEnd"/>
      <w:r w:rsidRPr="00675DA5">
        <w:rPr>
          <w:rFonts w:cs="Calibri"/>
          <w:sz w:val="24"/>
          <w:szCs w:val="24"/>
        </w:rPr>
        <w:t xml:space="preserve"> que le récepteur soluble, associés avec corticoïdes et MTX. Rarement </w:t>
      </w:r>
      <w:proofErr w:type="spellStart"/>
      <w:r w:rsidRPr="00675DA5">
        <w:rPr>
          <w:rFonts w:cs="Calibri"/>
          <w:sz w:val="24"/>
          <w:szCs w:val="24"/>
        </w:rPr>
        <w:t>sepsis</w:t>
      </w:r>
      <w:proofErr w:type="spellEnd"/>
      <w:r w:rsidRPr="00675DA5">
        <w:rPr>
          <w:rFonts w:cs="Calibri"/>
          <w:sz w:val="24"/>
          <w:szCs w:val="24"/>
        </w:rPr>
        <w:t xml:space="preserve">. </w:t>
      </w:r>
    </w:p>
    <w:p w:rsidR="00C8391F" w:rsidRPr="00675DA5" w:rsidRDefault="00C8391F" w:rsidP="00CE19DF">
      <w:pPr>
        <w:pStyle w:val="Paragraphedeliste"/>
        <w:numPr>
          <w:ilvl w:val="0"/>
          <w:numId w:val="18"/>
        </w:numPr>
        <w:spacing w:after="0" w:line="276" w:lineRule="auto"/>
        <w:jc w:val="both"/>
        <w:rPr>
          <w:rFonts w:cs="Calibri"/>
          <w:sz w:val="24"/>
          <w:szCs w:val="24"/>
        </w:rPr>
      </w:pPr>
      <w:r w:rsidRPr="00675DA5">
        <w:rPr>
          <w:rFonts w:cs="Calibri"/>
          <w:sz w:val="24"/>
          <w:szCs w:val="24"/>
        </w:rPr>
        <w:t>réactivation de tuberculose et des tuberculoses extra- pulmonaires</w:t>
      </w:r>
    </w:p>
    <w:p w:rsidR="00C8391F" w:rsidRPr="00675DA5" w:rsidRDefault="00C8391F" w:rsidP="00CE19DF">
      <w:pPr>
        <w:pStyle w:val="Paragraphedeliste"/>
        <w:numPr>
          <w:ilvl w:val="0"/>
          <w:numId w:val="11"/>
        </w:numPr>
        <w:spacing w:after="0" w:line="276" w:lineRule="auto"/>
        <w:jc w:val="both"/>
        <w:rPr>
          <w:rFonts w:cs="Calibri"/>
          <w:sz w:val="24"/>
          <w:szCs w:val="24"/>
        </w:rPr>
      </w:pPr>
      <w:r w:rsidRPr="00675DA5">
        <w:rPr>
          <w:rFonts w:cs="Calibri"/>
          <w:b/>
          <w:bCs/>
          <w:sz w:val="24"/>
          <w:szCs w:val="24"/>
        </w:rPr>
        <w:t xml:space="preserve">lésions cutanées </w:t>
      </w:r>
      <w:proofErr w:type="spellStart"/>
      <w:r w:rsidRPr="00675DA5">
        <w:rPr>
          <w:rFonts w:cs="Calibri"/>
          <w:b/>
          <w:bCs/>
          <w:sz w:val="24"/>
          <w:szCs w:val="24"/>
        </w:rPr>
        <w:t>psoriasiformes</w:t>
      </w:r>
      <w:proofErr w:type="spellEnd"/>
      <w:r w:rsidRPr="00675DA5">
        <w:rPr>
          <w:rFonts w:cs="Calibri"/>
          <w:sz w:val="24"/>
          <w:szCs w:val="24"/>
        </w:rPr>
        <w:t xml:space="preserve"> (plus avec </w:t>
      </w:r>
      <w:proofErr w:type="spellStart"/>
      <w:r w:rsidRPr="00675DA5">
        <w:rPr>
          <w:rFonts w:cs="Calibri"/>
          <w:sz w:val="24"/>
          <w:szCs w:val="24"/>
        </w:rPr>
        <w:t>adalimumab</w:t>
      </w:r>
      <w:proofErr w:type="spellEnd"/>
      <w:r w:rsidRPr="00675DA5">
        <w:rPr>
          <w:rFonts w:cs="Calibri"/>
          <w:sz w:val="24"/>
          <w:szCs w:val="24"/>
        </w:rPr>
        <w:t>)</w:t>
      </w:r>
    </w:p>
    <w:p w:rsidR="00C8391F" w:rsidRPr="00675DA5" w:rsidRDefault="00C8391F" w:rsidP="00CE19DF">
      <w:pPr>
        <w:pStyle w:val="Paragraphedeliste"/>
        <w:numPr>
          <w:ilvl w:val="0"/>
          <w:numId w:val="11"/>
        </w:numPr>
        <w:spacing w:after="0" w:line="276" w:lineRule="auto"/>
        <w:jc w:val="both"/>
        <w:rPr>
          <w:rFonts w:cs="Calibri"/>
          <w:sz w:val="24"/>
          <w:szCs w:val="24"/>
        </w:rPr>
      </w:pPr>
      <w:r w:rsidRPr="00675DA5">
        <w:rPr>
          <w:rFonts w:cs="Calibri"/>
          <w:b/>
          <w:bCs/>
          <w:sz w:val="24"/>
          <w:szCs w:val="24"/>
        </w:rPr>
        <w:t>vascularites cutanées avec purpura vasculaire</w:t>
      </w:r>
      <w:r w:rsidRPr="00675DA5">
        <w:rPr>
          <w:rFonts w:cs="Calibri"/>
          <w:sz w:val="24"/>
          <w:szCs w:val="24"/>
        </w:rPr>
        <w:t xml:space="preserve"> (++</w:t>
      </w:r>
      <w:proofErr w:type="spellStart"/>
      <w:r w:rsidRPr="00675DA5">
        <w:rPr>
          <w:rFonts w:cs="Calibri"/>
          <w:sz w:val="24"/>
          <w:szCs w:val="24"/>
        </w:rPr>
        <w:t>Et</w:t>
      </w:r>
      <w:r w:rsidR="000F70A3">
        <w:rPr>
          <w:rFonts w:cs="Calibri"/>
          <w:sz w:val="24"/>
          <w:szCs w:val="24"/>
        </w:rPr>
        <w:t>anercept</w:t>
      </w:r>
      <w:proofErr w:type="spellEnd"/>
      <w:r w:rsidR="000F70A3">
        <w:rPr>
          <w:rFonts w:cs="Calibri"/>
          <w:sz w:val="24"/>
          <w:szCs w:val="24"/>
        </w:rPr>
        <w:t>)</w:t>
      </w:r>
      <w:r w:rsidRPr="00675DA5">
        <w:rPr>
          <w:rFonts w:cs="Calibri"/>
          <w:sz w:val="24"/>
          <w:szCs w:val="24"/>
        </w:rPr>
        <w:t>, parfois nécrosante ou lymphocytaire</w:t>
      </w:r>
    </w:p>
    <w:p w:rsidR="00C8391F" w:rsidRPr="00675DA5" w:rsidRDefault="00C8391F" w:rsidP="00CE19DF">
      <w:pPr>
        <w:pStyle w:val="Paragraphedeliste"/>
        <w:numPr>
          <w:ilvl w:val="0"/>
          <w:numId w:val="11"/>
        </w:numPr>
        <w:spacing w:after="0" w:line="276" w:lineRule="auto"/>
        <w:jc w:val="both"/>
        <w:rPr>
          <w:rFonts w:cs="Calibri"/>
          <w:sz w:val="24"/>
          <w:szCs w:val="24"/>
        </w:rPr>
      </w:pPr>
      <w:r w:rsidRPr="00675DA5">
        <w:rPr>
          <w:rFonts w:cs="Calibri"/>
          <w:b/>
          <w:bCs/>
          <w:sz w:val="24"/>
          <w:szCs w:val="24"/>
        </w:rPr>
        <w:t>Néoplasies :</w:t>
      </w:r>
      <w:r w:rsidRPr="00675DA5">
        <w:rPr>
          <w:rFonts w:cs="Calibri"/>
          <w:sz w:val="24"/>
          <w:szCs w:val="24"/>
        </w:rPr>
        <w:t xml:space="preserve"> peu fréquentes (papillome cutané, tumeurs solides, mélanome malin, carcinome </w:t>
      </w:r>
      <w:proofErr w:type="spellStart"/>
      <w:r w:rsidRPr="00675DA5">
        <w:rPr>
          <w:rFonts w:cs="Calibri"/>
          <w:sz w:val="24"/>
          <w:szCs w:val="24"/>
        </w:rPr>
        <w:t>malpighien</w:t>
      </w:r>
      <w:proofErr w:type="spellEnd"/>
      <w:r w:rsidRPr="00675DA5">
        <w:rPr>
          <w:rFonts w:cs="Calibri"/>
          <w:sz w:val="24"/>
          <w:szCs w:val="24"/>
        </w:rPr>
        <w:t xml:space="preserve"> </w:t>
      </w:r>
      <w:proofErr w:type="spellStart"/>
      <w:r w:rsidRPr="00675DA5">
        <w:rPr>
          <w:rFonts w:cs="Calibri"/>
          <w:sz w:val="24"/>
          <w:szCs w:val="24"/>
        </w:rPr>
        <w:t>spino</w:t>
      </w:r>
      <w:proofErr w:type="spellEnd"/>
      <w:r w:rsidRPr="00675DA5">
        <w:rPr>
          <w:rFonts w:cs="Calibri"/>
          <w:sz w:val="24"/>
          <w:szCs w:val="24"/>
        </w:rPr>
        <w:t xml:space="preserve">-cellulaire et syndromes </w:t>
      </w:r>
      <w:proofErr w:type="spellStart"/>
      <w:r w:rsidRPr="00675DA5">
        <w:rPr>
          <w:rFonts w:cs="Calibri"/>
          <w:sz w:val="24"/>
          <w:szCs w:val="24"/>
        </w:rPr>
        <w:t>myéloprolifératifs</w:t>
      </w:r>
      <w:proofErr w:type="spellEnd"/>
      <w:r w:rsidRPr="00675DA5">
        <w:rPr>
          <w:rFonts w:cs="Calibri"/>
          <w:sz w:val="24"/>
          <w:szCs w:val="24"/>
        </w:rPr>
        <w:t>)</w:t>
      </w:r>
    </w:p>
    <w:p w:rsidR="00C8391F" w:rsidRPr="00675DA5" w:rsidRDefault="00C8391F" w:rsidP="00CE19DF">
      <w:pPr>
        <w:pStyle w:val="Paragraphedeliste"/>
        <w:numPr>
          <w:ilvl w:val="0"/>
          <w:numId w:val="11"/>
        </w:numPr>
        <w:spacing w:after="0" w:line="276" w:lineRule="auto"/>
        <w:jc w:val="both"/>
        <w:rPr>
          <w:rFonts w:cs="Calibri"/>
          <w:sz w:val="24"/>
          <w:szCs w:val="24"/>
        </w:rPr>
      </w:pPr>
      <w:r w:rsidRPr="00675DA5">
        <w:rPr>
          <w:rFonts w:cs="Calibri"/>
          <w:b/>
          <w:bCs/>
          <w:sz w:val="24"/>
          <w:szCs w:val="24"/>
        </w:rPr>
        <w:lastRenderedPageBreak/>
        <w:t>anomalies hématologiques :</w:t>
      </w:r>
      <w:r w:rsidRPr="00675DA5">
        <w:rPr>
          <w:rFonts w:cs="Calibri"/>
          <w:sz w:val="24"/>
          <w:szCs w:val="24"/>
        </w:rPr>
        <w:t xml:space="preserve"> anémies, leucopénies, thrombopénie, </w:t>
      </w:r>
      <w:proofErr w:type="spellStart"/>
      <w:r w:rsidRPr="00675DA5">
        <w:rPr>
          <w:rFonts w:cs="Calibri"/>
          <w:sz w:val="24"/>
          <w:szCs w:val="24"/>
        </w:rPr>
        <w:t>pancytopénies</w:t>
      </w:r>
      <w:proofErr w:type="spellEnd"/>
      <w:r w:rsidRPr="00675DA5">
        <w:rPr>
          <w:rFonts w:cs="Calibri"/>
          <w:sz w:val="24"/>
          <w:szCs w:val="24"/>
        </w:rPr>
        <w:t>, augmentation des transaminases, CPK</w:t>
      </w:r>
    </w:p>
    <w:p w:rsidR="00C8391F" w:rsidRPr="00675DA5" w:rsidRDefault="00C8391F" w:rsidP="00CE19DF">
      <w:pPr>
        <w:pStyle w:val="Paragraphedeliste"/>
        <w:numPr>
          <w:ilvl w:val="0"/>
          <w:numId w:val="19"/>
        </w:numPr>
        <w:spacing w:after="0" w:line="276" w:lineRule="auto"/>
        <w:jc w:val="both"/>
        <w:rPr>
          <w:rFonts w:cs="Calibri"/>
          <w:sz w:val="24"/>
          <w:szCs w:val="24"/>
        </w:rPr>
      </w:pPr>
      <w:r w:rsidRPr="00675DA5">
        <w:rPr>
          <w:rFonts w:cs="Calibri"/>
          <w:sz w:val="24"/>
          <w:szCs w:val="24"/>
        </w:rPr>
        <w:t xml:space="preserve">anomalies du système immunitaire : peu fréquents, LES, </w:t>
      </w:r>
      <w:proofErr w:type="spellStart"/>
      <w:r w:rsidRPr="00675DA5">
        <w:rPr>
          <w:rFonts w:cs="Calibri"/>
          <w:sz w:val="24"/>
          <w:szCs w:val="24"/>
        </w:rPr>
        <w:t>angieodème</w:t>
      </w:r>
      <w:proofErr w:type="spellEnd"/>
      <w:r w:rsidRPr="00675DA5">
        <w:rPr>
          <w:rFonts w:cs="Calibri"/>
          <w:sz w:val="24"/>
          <w:szCs w:val="24"/>
        </w:rPr>
        <w:t xml:space="preserve">, hypersensibilité médicamenteuse, rarement maladie sérique, allergie saisonnière. </w:t>
      </w:r>
    </w:p>
    <w:p w:rsidR="00C8391F" w:rsidRPr="00675DA5" w:rsidRDefault="00C8391F" w:rsidP="00CE19DF">
      <w:pPr>
        <w:pStyle w:val="Paragraphedeliste"/>
        <w:numPr>
          <w:ilvl w:val="0"/>
          <w:numId w:val="19"/>
        </w:numPr>
        <w:spacing w:after="0" w:line="276" w:lineRule="auto"/>
        <w:jc w:val="both"/>
        <w:rPr>
          <w:rFonts w:cs="Calibri"/>
          <w:sz w:val="24"/>
          <w:szCs w:val="24"/>
        </w:rPr>
      </w:pPr>
      <w:proofErr w:type="spellStart"/>
      <w:r w:rsidRPr="00675DA5">
        <w:rPr>
          <w:rFonts w:cs="Calibri"/>
          <w:sz w:val="24"/>
          <w:szCs w:val="24"/>
        </w:rPr>
        <w:t>Ac</w:t>
      </w:r>
      <w:proofErr w:type="spellEnd"/>
      <w:r w:rsidRPr="00675DA5">
        <w:rPr>
          <w:rFonts w:cs="Calibri"/>
          <w:sz w:val="24"/>
          <w:szCs w:val="24"/>
        </w:rPr>
        <w:t xml:space="preserve"> dirigés contre le produit (l’</w:t>
      </w:r>
      <w:proofErr w:type="spellStart"/>
      <w:r w:rsidRPr="00675DA5">
        <w:rPr>
          <w:rFonts w:cs="Calibri"/>
          <w:sz w:val="24"/>
          <w:szCs w:val="24"/>
        </w:rPr>
        <w:t>infliximab</w:t>
      </w:r>
      <w:proofErr w:type="spellEnd"/>
      <w:r w:rsidRPr="00675DA5">
        <w:rPr>
          <w:rFonts w:cs="Calibri"/>
          <w:sz w:val="24"/>
          <w:szCs w:val="24"/>
        </w:rPr>
        <w:t>++), pouvant entrainer une réaction pendant la perfusion</w:t>
      </w:r>
    </w:p>
    <w:p w:rsidR="00C8391F" w:rsidRPr="00675DA5" w:rsidRDefault="00C8391F" w:rsidP="00CE19DF">
      <w:pPr>
        <w:pStyle w:val="Paragraphedeliste"/>
        <w:numPr>
          <w:ilvl w:val="0"/>
          <w:numId w:val="11"/>
        </w:numPr>
        <w:spacing w:after="0" w:line="276" w:lineRule="auto"/>
        <w:jc w:val="both"/>
        <w:rPr>
          <w:rFonts w:cs="Calibri"/>
          <w:sz w:val="24"/>
          <w:szCs w:val="24"/>
        </w:rPr>
      </w:pPr>
      <w:r w:rsidRPr="00675DA5">
        <w:rPr>
          <w:rFonts w:cs="Calibri"/>
          <w:b/>
          <w:bCs/>
          <w:sz w:val="24"/>
          <w:szCs w:val="24"/>
        </w:rPr>
        <w:t>troubles du système nerveux :</w:t>
      </w:r>
      <w:r w:rsidRPr="00675DA5">
        <w:rPr>
          <w:rFonts w:cs="Calibri"/>
          <w:sz w:val="24"/>
          <w:szCs w:val="24"/>
        </w:rPr>
        <w:t xml:space="preserve"> SEP, névrite optique, encéphalopathies</w:t>
      </w:r>
    </w:p>
    <w:p w:rsidR="00C8391F" w:rsidRPr="00675DA5" w:rsidRDefault="00C8391F" w:rsidP="00C8391F">
      <w:pPr>
        <w:pStyle w:val="Paragraphedeliste"/>
        <w:spacing w:after="0"/>
        <w:jc w:val="both"/>
        <w:rPr>
          <w:rFonts w:cs="Calibri"/>
          <w:b/>
          <w:bCs/>
          <w:sz w:val="24"/>
          <w:szCs w:val="24"/>
        </w:rPr>
      </w:pPr>
    </w:p>
    <w:p w:rsidR="00C8391F" w:rsidRPr="00233D86" w:rsidRDefault="00C8391F" w:rsidP="00C8391F">
      <w:pPr>
        <w:spacing w:after="0" w:line="276" w:lineRule="auto"/>
        <w:jc w:val="both"/>
        <w:rPr>
          <w:rFonts w:cs="Calibri"/>
          <w:b/>
          <w:bCs/>
          <w:color w:val="000000" w:themeColor="text1"/>
          <w:sz w:val="28"/>
          <w:szCs w:val="24"/>
        </w:rPr>
      </w:pPr>
      <w:r w:rsidRPr="00233D86">
        <w:rPr>
          <w:rFonts w:cs="Calibri"/>
          <w:b/>
          <w:bCs/>
          <w:color w:val="000000" w:themeColor="text1"/>
          <w:sz w:val="28"/>
          <w:szCs w:val="24"/>
        </w:rPr>
        <w:t>Suivi :</w:t>
      </w:r>
    </w:p>
    <w:p w:rsidR="00C8391F" w:rsidRPr="00675DA5" w:rsidRDefault="00C8391F" w:rsidP="00CE19DF">
      <w:pPr>
        <w:pStyle w:val="Paragraphedeliste"/>
        <w:numPr>
          <w:ilvl w:val="0"/>
          <w:numId w:val="10"/>
        </w:numPr>
        <w:spacing w:after="0" w:line="276" w:lineRule="auto"/>
        <w:jc w:val="both"/>
        <w:rPr>
          <w:rFonts w:cs="Calibri"/>
          <w:b/>
          <w:bCs/>
          <w:sz w:val="24"/>
          <w:szCs w:val="24"/>
        </w:rPr>
      </w:pPr>
      <w:r w:rsidRPr="00675DA5">
        <w:rPr>
          <w:rFonts w:cs="Calibri"/>
          <w:b/>
          <w:bCs/>
          <w:sz w:val="24"/>
          <w:szCs w:val="24"/>
        </w:rPr>
        <w:t>Surveillance clinique :</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 xml:space="preserve">Le DAS28, BASDAI, le BASFI, EVA globale, </w:t>
      </w:r>
      <w:proofErr w:type="spellStart"/>
      <w:r w:rsidRPr="00675DA5">
        <w:rPr>
          <w:rFonts w:cs="Calibri"/>
          <w:sz w:val="24"/>
          <w:szCs w:val="24"/>
        </w:rPr>
        <w:t>PsARC</w:t>
      </w:r>
      <w:proofErr w:type="spellEnd"/>
      <w:r w:rsidRPr="00675DA5">
        <w:rPr>
          <w:rFonts w:cs="Calibri"/>
          <w:sz w:val="24"/>
          <w:szCs w:val="24"/>
        </w:rPr>
        <w:t xml:space="preserve"> modifiés </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Evaluer la réponse thérapeutique : avant de conclure à une non réponse un délai minimum de 12 semaines de traitement est nécessaire (PR) et 6 à 12 semaines pour la SA et RP</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La recherche des effets indésirables du traitement</w:t>
      </w:r>
    </w:p>
    <w:p w:rsidR="00C8391F" w:rsidRPr="00675DA5" w:rsidRDefault="00C8391F" w:rsidP="00CE19DF">
      <w:pPr>
        <w:pStyle w:val="Paragraphedeliste"/>
        <w:numPr>
          <w:ilvl w:val="0"/>
          <w:numId w:val="10"/>
        </w:numPr>
        <w:spacing w:after="0" w:line="276" w:lineRule="auto"/>
        <w:jc w:val="both"/>
        <w:rPr>
          <w:rFonts w:cs="Calibri"/>
          <w:b/>
          <w:bCs/>
          <w:sz w:val="24"/>
          <w:szCs w:val="24"/>
        </w:rPr>
      </w:pPr>
      <w:r w:rsidRPr="00675DA5">
        <w:rPr>
          <w:rFonts w:cs="Calibri"/>
          <w:b/>
          <w:bCs/>
          <w:sz w:val="24"/>
          <w:szCs w:val="24"/>
        </w:rPr>
        <w:t>Surveillance biologique</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VS, CRP, hémogramme, Transaminases, + paramètres de surveillance du traitement conventionnel associé</w:t>
      </w:r>
    </w:p>
    <w:p w:rsidR="00C8391F" w:rsidRPr="00675DA5" w:rsidRDefault="00C8391F" w:rsidP="00CE19DF">
      <w:pPr>
        <w:pStyle w:val="Paragraphedeliste"/>
        <w:numPr>
          <w:ilvl w:val="0"/>
          <w:numId w:val="10"/>
        </w:numPr>
        <w:spacing w:after="0" w:line="276" w:lineRule="auto"/>
        <w:jc w:val="both"/>
        <w:rPr>
          <w:rFonts w:cs="Calibri"/>
          <w:sz w:val="24"/>
          <w:szCs w:val="24"/>
        </w:rPr>
      </w:pPr>
      <w:r w:rsidRPr="00675DA5">
        <w:rPr>
          <w:rFonts w:cs="Calibri"/>
          <w:b/>
          <w:bCs/>
          <w:sz w:val="24"/>
          <w:szCs w:val="24"/>
        </w:rPr>
        <w:t>Surveillance radiologique :</w:t>
      </w:r>
      <w:r w:rsidRPr="00675DA5">
        <w:rPr>
          <w:rFonts w:cs="Calibri"/>
          <w:sz w:val="24"/>
          <w:szCs w:val="24"/>
        </w:rPr>
        <w:t xml:space="preserve"> évaluer l’efficacité structurale</w:t>
      </w:r>
    </w:p>
    <w:p w:rsidR="00C8391F" w:rsidRPr="00675DA5" w:rsidRDefault="00C8391F" w:rsidP="00CE19DF">
      <w:pPr>
        <w:pStyle w:val="Paragraphedeliste"/>
        <w:numPr>
          <w:ilvl w:val="0"/>
          <w:numId w:val="6"/>
        </w:numPr>
        <w:spacing w:after="0" w:line="276" w:lineRule="auto"/>
        <w:jc w:val="both"/>
        <w:rPr>
          <w:rFonts w:cs="Calibri"/>
          <w:sz w:val="24"/>
          <w:szCs w:val="24"/>
        </w:rPr>
      </w:pPr>
      <w:r w:rsidRPr="00675DA5">
        <w:rPr>
          <w:rFonts w:cs="Calibri"/>
          <w:sz w:val="24"/>
          <w:szCs w:val="24"/>
        </w:rPr>
        <w:t>(PR) : radio des mains et des poignets, pieds de face et des articulations symptomatique (1x/an), score de Larsen, score de Sharp modifié</w:t>
      </w:r>
    </w:p>
    <w:p w:rsidR="00C8391F" w:rsidRPr="00675DA5" w:rsidRDefault="00C8391F" w:rsidP="00CE19DF">
      <w:pPr>
        <w:pStyle w:val="Paragraphedeliste"/>
        <w:numPr>
          <w:ilvl w:val="0"/>
          <w:numId w:val="6"/>
        </w:numPr>
        <w:spacing w:after="0" w:line="276" w:lineRule="auto"/>
        <w:jc w:val="both"/>
        <w:rPr>
          <w:rFonts w:cs="Calibri"/>
          <w:b/>
          <w:bCs/>
          <w:sz w:val="24"/>
          <w:szCs w:val="24"/>
        </w:rPr>
      </w:pPr>
      <w:r w:rsidRPr="00675DA5">
        <w:rPr>
          <w:rFonts w:cs="Calibri"/>
          <w:sz w:val="24"/>
          <w:szCs w:val="24"/>
        </w:rPr>
        <w:t>Radio du thorax : pour dépister TP (1x/an)</w:t>
      </w:r>
    </w:p>
    <w:p w:rsidR="00C8391F" w:rsidRPr="00675DA5" w:rsidRDefault="00C8391F" w:rsidP="00CE19DF">
      <w:pPr>
        <w:pStyle w:val="Paragraphedeliste"/>
        <w:numPr>
          <w:ilvl w:val="0"/>
          <w:numId w:val="10"/>
        </w:numPr>
        <w:spacing w:after="0" w:line="276" w:lineRule="auto"/>
        <w:jc w:val="both"/>
        <w:rPr>
          <w:rFonts w:cs="Calibri"/>
          <w:b/>
          <w:bCs/>
          <w:sz w:val="24"/>
          <w:szCs w:val="24"/>
        </w:rPr>
      </w:pPr>
      <w:r w:rsidRPr="00675DA5">
        <w:rPr>
          <w:rFonts w:cs="Calibri"/>
          <w:b/>
          <w:bCs/>
          <w:sz w:val="24"/>
          <w:szCs w:val="24"/>
        </w:rPr>
        <w:t>Calendrier  du bilan de surveillance clinique et biologique :</w:t>
      </w:r>
    </w:p>
    <w:p w:rsidR="00295001" w:rsidRDefault="00295001" w:rsidP="00CE19DF">
      <w:pPr>
        <w:pStyle w:val="Paragraphedeliste"/>
        <w:numPr>
          <w:ilvl w:val="0"/>
          <w:numId w:val="19"/>
        </w:numPr>
        <w:spacing w:after="0"/>
        <w:ind w:left="1800"/>
        <w:jc w:val="both"/>
        <w:rPr>
          <w:rFonts w:cs="Calibri"/>
          <w:sz w:val="24"/>
          <w:szCs w:val="24"/>
        </w:rPr>
      </w:pPr>
      <w:proofErr w:type="spellStart"/>
      <w:r w:rsidRPr="00295001">
        <w:rPr>
          <w:rFonts w:cs="Calibri"/>
          <w:sz w:val="24"/>
          <w:szCs w:val="24"/>
        </w:rPr>
        <w:t>I</w:t>
      </w:r>
      <w:r w:rsidR="00C8391F" w:rsidRPr="00295001">
        <w:rPr>
          <w:rFonts w:cs="Calibri"/>
          <w:sz w:val="24"/>
          <w:szCs w:val="24"/>
        </w:rPr>
        <w:t>nfliximab</w:t>
      </w:r>
      <w:proofErr w:type="spellEnd"/>
      <w:r w:rsidR="00C8391F" w:rsidRPr="00295001">
        <w:rPr>
          <w:rFonts w:cs="Calibri"/>
          <w:sz w:val="24"/>
          <w:szCs w:val="24"/>
        </w:rPr>
        <w:t> : à chaque perfusion</w:t>
      </w:r>
    </w:p>
    <w:p w:rsidR="00C8391F" w:rsidRDefault="00295001" w:rsidP="00CE19DF">
      <w:pPr>
        <w:pStyle w:val="Paragraphedeliste"/>
        <w:numPr>
          <w:ilvl w:val="0"/>
          <w:numId w:val="19"/>
        </w:numPr>
        <w:spacing w:after="0"/>
        <w:ind w:left="1800"/>
        <w:jc w:val="both"/>
        <w:rPr>
          <w:rFonts w:cs="Calibri"/>
          <w:sz w:val="24"/>
          <w:szCs w:val="24"/>
        </w:rPr>
      </w:pPr>
      <w:proofErr w:type="spellStart"/>
      <w:r w:rsidRPr="00295001">
        <w:rPr>
          <w:rFonts w:cs="Calibri"/>
          <w:sz w:val="24"/>
          <w:szCs w:val="24"/>
        </w:rPr>
        <w:t>A</w:t>
      </w:r>
      <w:r w:rsidR="00C8391F" w:rsidRPr="00295001">
        <w:rPr>
          <w:rFonts w:cs="Calibri"/>
          <w:sz w:val="24"/>
          <w:szCs w:val="24"/>
        </w:rPr>
        <w:t>dalimumab</w:t>
      </w:r>
      <w:proofErr w:type="spellEnd"/>
      <w:r>
        <w:rPr>
          <w:rFonts w:cs="Calibri"/>
          <w:sz w:val="24"/>
          <w:szCs w:val="24"/>
        </w:rPr>
        <w:t xml:space="preserve"> </w:t>
      </w:r>
      <w:r w:rsidR="00C8391F" w:rsidRPr="00295001">
        <w:rPr>
          <w:rFonts w:cs="Calibri"/>
          <w:sz w:val="24"/>
          <w:szCs w:val="24"/>
        </w:rPr>
        <w:t xml:space="preserve">et </w:t>
      </w:r>
      <w:proofErr w:type="spellStart"/>
      <w:r>
        <w:rPr>
          <w:rFonts w:cs="Calibri"/>
          <w:sz w:val="24"/>
          <w:szCs w:val="24"/>
        </w:rPr>
        <w:t>E</w:t>
      </w:r>
      <w:r w:rsidR="00C8391F" w:rsidRPr="00295001">
        <w:rPr>
          <w:rFonts w:cs="Calibri"/>
          <w:sz w:val="24"/>
          <w:szCs w:val="24"/>
        </w:rPr>
        <w:t>tanercept</w:t>
      </w:r>
      <w:proofErr w:type="spellEnd"/>
      <w:r w:rsidR="00C8391F" w:rsidRPr="00295001">
        <w:rPr>
          <w:rFonts w:cs="Calibri"/>
          <w:sz w:val="24"/>
          <w:szCs w:val="24"/>
        </w:rPr>
        <w:t> : 1 mois, 3 mois puis tous les 2 à 3 mois</w:t>
      </w:r>
    </w:p>
    <w:p w:rsidR="00295001" w:rsidRPr="00233D86" w:rsidRDefault="00295001" w:rsidP="00295001">
      <w:pPr>
        <w:spacing w:after="0"/>
        <w:jc w:val="both"/>
        <w:rPr>
          <w:rFonts w:cs="Calibri"/>
          <w:b/>
          <w:sz w:val="24"/>
          <w:szCs w:val="24"/>
        </w:rPr>
      </w:pPr>
      <w:r w:rsidRPr="00233D86">
        <w:rPr>
          <w:rFonts w:cs="Calibri"/>
          <w:b/>
          <w:sz w:val="24"/>
          <w:szCs w:val="24"/>
        </w:rPr>
        <w:t>b- Inhibiteurs de cellule d’</w:t>
      </w:r>
      <w:r w:rsidR="00233D86" w:rsidRPr="00233D86">
        <w:rPr>
          <w:rFonts w:cs="Calibri"/>
          <w:b/>
          <w:sz w:val="24"/>
          <w:szCs w:val="24"/>
        </w:rPr>
        <w:t>immunité</w:t>
      </w:r>
      <w:r w:rsidRPr="00233D86">
        <w:rPr>
          <w:rFonts w:cs="Calibri"/>
          <w:b/>
          <w:sz w:val="24"/>
          <w:szCs w:val="24"/>
        </w:rPr>
        <w:t xml:space="preserve"> : </w:t>
      </w:r>
    </w:p>
    <w:p w:rsidR="00BC447C" w:rsidRDefault="00BC447C" w:rsidP="00CE19DF">
      <w:pPr>
        <w:pStyle w:val="Paragraphedeliste"/>
        <w:numPr>
          <w:ilvl w:val="0"/>
          <w:numId w:val="20"/>
        </w:numPr>
        <w:spacing w:after="0" w:line="276" w:lineRule="auto"/>
        <w:jc w:val="both"/>
        <w:rPr>
          <w:rFonts w:cs="Calibri"/>
          <w:b/>
          <w:bCs/>
          <w:sz w:val="24"/>
          <w:szCs w:val="24"/>
          <w:lang w:val="en-US"/>
        </w:rPr>
      </w:pPr>
      <w:r w:rsidRPr="00347342">
        <w:rPr>
          <w:rFonts w:cs="Calibri"/>
          <w:b/>
          <w:bCs/>
          <w:sz w:val="24"/>
          <w:szCs w:val="24"/>
          <w:lang w:val="en-US"/>
        </w:rPr>
        <w:t>Biotherapies anti-lymphocytes B anti CD20 :</w:t>
      </w:r>
    </w:p>
    <w:p w:rsidR="00BC447C" w:rsidRPr="00347342" w:rsidRDefault="00BC447C" w:rsidP="00BC447C">
      <w:pPr>
        <w:spacing w:after="0" w:line="276" w:lineRule="auto"/>
        <w:jc w:val="both"/>
        <w:rPr>
          <w:rFonts w:cs="Calibri"/>
          <w:b/>
          <w:bCs/>
          <w:sz w:val="24"/>
          <w:szCs w:val="24"/>
          <w:lang w:val="en-US"/>
        </w:rPr>
      </w:pPr>
      <w:r>
        <w:rPr>
          <w:rFonts w:cs="Calibri"/>
          <w:b/>
          <w:bCs/>
          <w:sz w:val="24"/>
          <w:szCs w:val="24"/>
          <w:lang w:val="en-US"/>
        </w:rPr>
        <w:t xml:space="preserve">    </w:t>
      </w:r>
      <w:r w:rsidRPr="00347342">
        <w:rPr>
          <w:rFonts w:cs="Calibri"/>
          <w:b/>
          <w:bCs/>
          <w:sz w:val="24"/>
          <w:szCs w:val="24"/>
          <w:lang w:val="en-US"/>
        </w:rPr>
        <w:t xml:space="preserve"> Rituximab (</w:t>
      </w:r>
      <w:proofErr w:type="spellStart"/>
      <w:r w:rsidRPr="00347342">
        <w:rPr>
          <w:rFonts w:cs="Calibri"/>
          <w:b/>
          <w:bCs/>
          <w:sz w:val="24"/>
          <w:szCs w:val="24"/>
          <w:lang w:val="en-US"/>
        </w:rPr>
        <w:t>MabThera</w:t>
      </w:r>
      <w:proofErr w:type="spellEnd"/>
      <w:r w:rsidRPr="00347342">
        <w:rPr>
          <w:rFonts w:cs="Calibri"/>
          <w:b/>
          <w:bCs/>
          <w:sz w:val="24"/>
          <w:szCs w:val="24"/>
          <w:lang w:val="en-US"/>
        </w:rPr>
        <w:t>)</w:t>
      </w:r>
      <w:r>
        <w:rPr>
          <w:rFonts w:cs="Calibri"/>
          <w:b/>
          <w:bCs/>
          <w:sz w:val="24"/>
          <w:szCs w:val="24"/>
          <w:lang w:val="en-US"/>
        </w:rPr>
        <w:t>:</w:t>
      </w:r>
    </w:p>
    <w:p w:rsidR="00BC447C" w:rsidRPr="00295001" w:rsidRDefault="00BC447C" w:rsidP="00BC447C">
      <w:pPr>
        <w:spacing w:after="0" w:line="276" w:lineRule="auto"/>
        <w:jc w:val="both"/>
        <w:rPr>
          <w:rFonts w:cs="Calibri"/>
          <w:b/>
          <w:bCs/>
          <w:color w:val="000000" w:themeColor="text1"/>
          <w:sz w:val="24"/>
          <w:szCs w:val="24"/>
        </w:rPr>
      </w:pPr>
      <w:r w:rsidRPr="00295001">
        <w:rPr>
          <w:rFonts w:cs="Calibri"/>
          <w:b/>
          <w:bCs/>
          <w:color w:val="000000" w:themeColor="text1"/>
          <w:sz w:val="24"/>
          <w:szCs w:val="24"/>
        </w:rPr>
        <w:t xml:space="preserve">Présentation et mode d'administration: </w:t>
      </w:r>
    </w:p>
    <w:p w:rsidR="00BC447C" w:rsidRPr="00675DA5" w:rsidRDefault="00BC447C" w:rsidP="00BC447C">
      <w:pPr>
        <w:spacing w:after="0"/>
        <w:jc w:val="both"/>
        <w:rPr>
          <w:rFonts w:cs="Calibri"/>
          <w:sz w:val="24"/>
          <w:szCs w:val="24"/>
        </w:rPr>
      </w:pPr>
      <w:r w:rsidRPr="00675DA5">
        <w:rPr>
          <w:rFonts w:cs="Calibri"/>
          <w:sz w:val="24"/>
          <w:szCs w:val="24"/>
        </w:rPr>
        <w:t xml:space="preserve"> Flaco</w:t>
      </w:r>
      <w:r w:rsidR="00295001">
        <w:rPr>
          <w:rFonts w:cs="Calibri"/>
          <w:sz w:val="24"/>
          <w:szCs w:val="24"/>
        </w:rPr>
        <w:t xml:space="preserve">n de 50 ml contenant 500 mg de </w:t>
      </w:r>
      <w:proofErr w:type="spellStart"/>
      <w:r w:rsidR="00295001">
        <w:rPr>
          <w:rFonts w:cs="Calibri"/>
          <w:sz w:val="24"/>
          <w:szCs w:val="24"/>
        </w:rPr>
        <w:t>R</w:t>
      </w:r>
      <w:r w:rsidRPr="00675DA5">
        <w:rPr>
          <w:rFonts w:cs="Calibri"/>
          <w:sz w:val="24"/>
          <w:szCs w:val="24"/>
        </w:rPr>
        <w:t>ituximab</w:t>
      </w:r>
      <w:proofErr w:type="spellEnd"/>
      <w:r w:rsidRPr="00675DA5">
        <w:rPr>
          <w:rFonts w:cs="Calibri"/>
          <w:sz w:val="24"/>
          <w:szCs w:val="24"/>
        </w:rPr>
        <w:t xml:space="preserve"> à diluer pour perfusion</w:t>
      </w:r>
    </w:p>
    <w:p w:rsidR="00BC447C" w:rsidRPr="00675DA5" w:rsidRDefault="00BC447C" w:rsidP="00BC447C">
      <w:pPr>
        <w:spacing w:after="0"/>
        <w:jc w:val="both"/>
        <w:rPr>
          <w:rFonts w:cs="Calibri"/>
          <w:sz w:val="24"/>
          <w:szCs w:val="24"/>
        </w:rPr>
      </w:pPr>
      <w:r w:rsidRPr="00675DA5">
        <w:rPr>
          <w:rFonts w:cs="Calibri"/>
          <w:sz w:val="24"/>
          <w:szCs w:val="24"/>
        </w:rPr>
        <w:t xml:space="preserve">- 2 perfusions lentes de 1g de </w:t>
      </w:r>
      <w:proofErr w:type="spellStart"/>
      <w:r w:rsidRPr="00675DA5">
        <w:rPr>
          <w:rFonts w:cs="Calibri"/>
          <w:sz w:val="24"/>
          <w:szCs w:val="24"/>
        </w:rPr>
        <w:t>rituximab</w:t>
      </w:r>
      <w:proofErr w:type="spellEnd"/>
      <w:r w:rsidRPr="00675DA5">
        <w:rPr>
          <w:rFonts w:cs="Calibri"/>
          <w:sz w:val="24"/>
          <w:szCs w:val="24"/>
        </w:rPr>
        <w:t xml:space="preserve"> à 15j d’intervalles : J1 et J15</w:t>
      </w:r>
    </w:p>
    <w:p w:rsidR="00BC447C" w:rsidRPr="00675DA5" w:rsidRDefault="00BC447C" w:rsidP="00BC447C">
      <w:pPr>
        <w:spacing w:after="0"/>
        <w:jc w:val="both"/>
        <w:rPr>
          <w:rFonts w:cs="Calibri"/>
          <w:sz w:val="24"/>
          <w:szCs w:val="24"/>
        </w:rPr>
      </w:pPr>
      <w:r w:rsidRPr="00675DA5">
        <w:rPr>
          <w:rFonts w:cs="Calibri"/>
          <w:sz w:val="24"/>
          <w:szCs w:val="24"/>
        </w:rPr>
        <w:t>- prémédication obligatoire : antihistaminiques + corticoïdes + antipyrétiques</w:t>
      </w:r>
    </w:p>
    <w:p w:rsidR="00BC447C" w:rsidRPr="00675DA5" w:rsidRDefault="00BC447C" w:rsidP="00BC447C">
      <w:pPr>
        <w:spacing w:after="0"/>
        <w:jc w:val="both"/>
        <w:rPr>
          <w:rFonts w:cs="Calibri"/>
          <w:sz w:val="24"/>
          <w:szCs w:val="24"/>
        </w:rPr>
      </w:pPr>
      <w:r w:rsidRPr="00675DA5">
        <w:rPr>
          <w:rFonts w:cs="Calibri"/>
          <w:sz w:val="24"/>
          <w:szCs w:val="24"/>
        </w:rPr>
        <w:t>*Antihistaminiques : la veille et le jour même</w:t>
      </w:r>
    </w:p>
    <w:p w:rsidR="00BC447C" w:rsidRPr="00675DA5" w:rsidRDefault="00BC447C" w:rsidP="00BC447C">
      <w:pPr>
        <w:spacing w:after="0"/>
        <w:jc w:val="both"/>
        <w:rPr>
          <w:rFonts w:cs="Calibri"/>
          <w:sz w:val="24"/>
          <w:szCs w:val="24"/>
        </w:rPr>
      </w:pPr>
      <w:r w:rsidRPr="00675DA5">
        <w:rPr>
          <w:rFonts w:cs="Calibri"/>
          <w:sz w:val="24"/>
          <w:szCs w:val="24"/>
        </w:rPr>
        <w:t>*Antipyrétiques : paracétamol</w:t>
      </w:r>
      <w:r w:rsidR="00295001">
        <w:rPr>
          <w:rFonts w:cs="Calibri"/>
          <w:sz w:val="24"/>
          <w:szCs w:val="24"/>
        </w:rPr>
        <w:t xml:space="preserve"> 1g en perfusion 60mn avant </w:t>
      </w:r>
      <w:proofErr w:type="spellStart"/>
      <w:r w:rsidR="00295001">
        <w:rPr>
          <w:rFonts w:cs="Calibri"/>
          <w:sz w:val="24"/>
          <w:szCs w:val="24"/>
        </w:rPr>
        <w:t>R</w:t>
      </w:r>
      <w:r w:rsidRPr="00675DA5">
        <w:rPr>
          <w:rFonts w:cs="Calibri"/>
          <w:sz w:val="24"/>
          <w:szCs w:val="24"/>
        </w:rPr>
        <w:t>ituximab</w:t>
      </w:r>
      <w:proofErr w:type="spellEnd"/>
    </w:p>
    <w:p w:rsidR="00BC447C" w:rsidRPr="00675DA5" w:rsidRDefault="00BC447C" w:rsidP="00BC447C">
      <w:pPr>
        <w:spacing w:after="0"/>
        <w:jc w:val="both"/>
        <w:rPr>
          <w:rFonts w:cs="Calibri"/>
          <w:sz w:val="24"/>
          <w:szCs w:val="24"/>
        </w:rPr>
      </w:pPr>
      <w:r w:rsidRPr="00675DA5">
        <w:rPr>
          <w:rFonts w:cs="Calibri"/>
          <w:sz w:val="24"/>
          <w:szCs w:val="24"/>
        </w:rPr>
        <w:t xml:space="preserve">*Corticoïdes : perfusion de 100mg de  </w:t>
      </w:r>
      <w:proofErr w:type="spellStart"/>
      <w:r w:rsidRPr="00675DA5">
        <w:rPr>
          <w:rFonts w:cs="Calibri"/>
          <w:sz w:val="24"/>
          <w:szCs w:val="24"/>
        </w:rPr>
        <w:t>méthy</w:t>
      </w:r>
      <w:r w:rsidR="00295001">
        <w:rPr>
          <w:rFonts w:cs="Calibri"/>
          <w:sz w:val="24"/>
          <w:szCs w:val="24"/>
        </w:rPr>
        <w:t>lprednisolone</w:t>
      </w:r>
      <w:proofErr w:type="spellEnd"/>
      <w:r w:rsidR="00295001">
        <w:rPr>
          <w:rFonts w:cs="Calibri"/>
          <w:sz w:val="24"/>
          <w:szCs w:val="24"/>
        </w:rPr>
        <w:t xml:space="preserve"> en IV 30mn avant </w:t>
      </w:r>
      <w:proofErr w:type="spellStart"/>
      <w:r w:rsidR="00295001">
        <w:rPr>
          <w:rFonts w:cs="Calibri"/>
          <w:sz w:val="24"/>
          <w:szCs w:val="24"/>
        </w:rPr>
        <w:t>R</w:t>
      </w:r>
      <w:r w:rsidRPr="00675DA5">
        <w:rPr>
          <w:rFonts w:cs="Calibri"/>
          <w:sz w:val="24"/>
          <w:szCs w:val="24"/>
        </w:rPr>
        <w:t>ituximab</w:t>
      </w:r>
      <w:proofErr w:type="spellEnd"/>
    </w:p>
    <w:p w:rsidR="00BC447C" w:rsidRPr="00675DA5" w:rsidRDefault="00295001" w:rsidP="00BC447C">
      <w:pPr>
        <w:spacing w:after="0"/>
        <w:jc w:val="both"/>
        <w:rPr>
          <w:rFonts w:cs="Calibri"/>
          <w:sz w:val="24"/>
          <w:szCs w:val="24"/>
        </w:rPr>
      </w:pPr>
      <w:r>
        <w:rPr>
          <w:rFonts w:cs="Calibri"/>
          <w:sz w:val="24"/>
          <w:szCs w:val="24"/>
        </w:rPr>
        <w:t xml:space="preserve">- perfusion de </w:t>
      </w:r>
      <w:proofErr w:type="spellStart"/>
      <w:r>
        <w:rPr>
          <w:rFonts w:cs="Calibri"/>
          <w:sz w:val="24"/>
          <w:szCs w:val="24"/>
        </w:rPr>
        <w:t>R</w:t>
      </w:r>
      <w:r w:rsidR="00BC447C" w:rsidRPr="00675DA5">
        <w:rPr>
          <w:rFonts w:cs="Calibri"/>
          <w:sz w:val="24"/>
          <w:szCs w:val="24"/>
        </w:rPr>
        <w:t>ituximab</w:t>
      </w:r>
      <w:proofErr w:type="spellEnd"/>
      <w:r w:rsidR="00BC447C" w:rsidRPr="00675DA5">
        <w:rPr>
          <w:rFonts w:cs="Calibri"/>
          <w:sz w:val="24"/>
          <w:szCs w:val="24"/>
        </w:rPr>
        <w:t xml:space="preserve"> de façon progressive : débuter par 8gouttes/mn et augmenter de 8gouttes toutes les 30mn</w:t>
      </w:r>
    </w:p>
    <w:p w:rsidR="00BC447C" w:rsidRPr="00675DA5" w:rsidRDefault="00BC447C" w:rsidP="00BC447C">
      <w:pPr>
        <w:spacing w:after="0"/>
        <w:jc w:val="both"/>
        <w:rPr>
          <w:rFonts w:cs="Calibri"/>
          <w:sz w:val="24"/>
          <w:szCs w:val="24"/>
        </w:rPr>
      </w:pPr>
      <w:r w:rsidRPr="00675DA5">
        <w:rPr>
          <w:rFonts w:cs="Calibri"/>
          <w:sz w:val="24"/>
          <w:szCs w:val="24"/>
        </w:rPr>
        <w:t>- durée : 1</w:t>
      </w:r>
      <w:r w:rsidRPr="00675DA5">
        <w:rPr>
          <w:rFonts w:cs="Calibri"/>
          <w:sz w:val="24"/>
          <w:szCs w:val="24"/>
          <w:vertAlign w:val="superscript"/>
        </w:rPr>
        <w:t>ère</w:t>
      </w:r>
      <w:r w:rsidRPr="00675DA5">
        <w:rPr>
          <w:rFonts w:cs="Calibri"/>
          <w:sz w:val="24"/>
          <w:szCs w:val="24"/>
        </w:rPr>
        <w:t xml:space="preserve"> </w:t>
      </w:r>
      <w:r w:rsidRPr="00675DA5">
        <w:rPr>
          <w:rFonts w:cs="Calibri"/>
          <w:sz w:val="24"/>
          <w:szCs w:val="24"/>
        </w:rPr>
        <w:sym w:font="Wingdings" w:char="F0E0"/>
      </w:r>
      <w:r w:rsidRPr="00675DA5">
        <w:rPr>
          <w:rFonts w:cs="Calibri"/>
          <w:sz w:val="24"/>
          <w:szCs w:val="24"/>
        </w:rPr>
        <w:t>4h15’, 2</w:t>
      </w:r>
      <w:r w:rsidRPr="00675DA5">
        <w:rPr>
          <w:rFonts w:cs="Calibri"/>
          <w:sz w:val="24"/>
          <w:szCs w:val="24"/>
          <w:vertAlign w:val="superscript"/>
        </w:rPr>
        <w:t>ème</w:t>
      </w:r>
      <w:r w:rsidRPr="00675DA5">
        <w:rPr>
          <w:rFonts w:cs="Calibri"/>
          <w:sz w:val="24"/>
          <w:szCs w:val="24"/>
        </w:rPr>
        <w:t xml:space="preserve"> </w:t>
      </w:r>
      <w:r w:rsidRPr="00675DA5">
        <w:rPr>
          <w:rFonts w:cs="Calibri"/>
          <w:sz w:val="24"/>
          <w:szCs w:val="24"/>
        </w:rPr>
        <w:sym w:font="Wingdings" w:char="F0E0"/>
      </w:r>
      <w:r w:rsidRPr="00675DA5">
        <w:rPr>
          <w:rFonts w:cs="Calibri"/>
          <w:sz w:val="24"/>
          <w:szCs w:val="24"/>
        </w:rPr>
        <w:t>3h 15’</w:t>
      </w:r>
    </w:p>
    <w:p w:rsidR="00BC447C" w:rsidRPr="00675DA5" w:rsidRDefault="00BC447C" w:rsidP="00BC447C">
      <w:pPr>
        <w:spacing w:after="0"/>
        <w:jc w:val="both"/>
        <w:rPr>
          <w:rFonts w:cs="Calibri"/>
          <w:sz w:val="24"/>
          <w:szCs w:val="24"/>
        </w:rPr>
      </w:pPr>
      <w:r w:rsidRPr="00675DA5">
        <w:rPr>
          <w:rFonts w:cs="Calibri"/>
          <w:sz w:val="24"/>
          <w:szCs w:val="24"/>
        </w:rPr>
        <w:t>- surveillance : contrôle visuel de la préparation (particules), constantes vitales : FR, TA, FR, T°</w:t>
      </w:r>
      <w:r w:rsidRPr="00675DA5">
        <w:rPr>
          <w:rFonts w:cs="Calibri"/>
          <w:sz w:val="24"/>
          <w:szCs w:val="24"/>
        </w:rPr>
        <w:sym w:font="Wingdings" w:char="F0E0"/>
      </w:r>
      <w:r w:rsidRPr="00675DA5">
        <w:rPr>
          <w:rFonts w:cs="Calibri"/>
          <w:sz w:val="24"/>
          <w:szCs w:val="24"/>
        </w:rPr>
        <w:t xml:space="preserve"> toutes les 30’</w:t>
      </w:r>
    </w:p>
    <w:p w:rsidR="00BC447C" w:rsidRPr="00295001" w:rsidRDefault="00BC447C" w:rsidP="00BC447C">
      <w:pPr>
        <w:spacing w:after="0" w:line="276" w:lineRule="auto"/>
        <w:jc w:val="both"/>
        <w:rPr>
          <w:rFonts w:cs="Calibri"/>
          <w:b/>
          <w:bCs/>
          <w:color w:val="000000" w:themeColor="text1"/>
          <w:sz w:val="24"/>
          <w:szCs w:val="24"/>
        </w:rPr>
      </w:pPr>
      <w:r w:rsidRPr="00295001">
        <w:rPr>
          <w:rFonts w:cs="Calibri"/>
          <w:b/>
          <w:bCs/>
          <w:color w:val="000000" w:themeColor="text1"/>
          <w:sz w:val="24"/>
          <w:szCs w:val="24"/>
        </w:rPr>
        <w:t>Contre-indications :</w:t>
      </w:r>
    </w:p>
    <w:p w:rsidR="00BC447C" w:rsidRPr="00675DA5" w:rsidRDefault="00BC447C" w:rsidP="00BC447C">
      <w:pPr>
        <w:spacing w:after="0"/>
        <w:jc w:val="both"/>
        <w:rPr>
          <w:rFonts w:cs="Calibri"/>
          <w:sz w:val="24"/>
          <w:szCs w:val="24"/>
        </w:rPr>
      </w:pPr>
      <w:r w:rsidRPr="00675DA5">
        <w:rPr>
          <w:rFonts w:cs="Calibri"/>
          <w:sz w:val="24"/>
          <w:szCs w:val="24"/>
        </w:rPr>
        <w:t xml:space="preserve"> *</w:t>
      </w:r>
      <w:r w:rsidRPr="00675DA5">
        <w:rPr>
          <w:rFonts w:cs="Calibri"/>
          <w:b/>
          <w:bCs/>
          <w:sz w:val="24"/>
          <w:szCs w:val="24"/>
        </w:rPr>
        <w:t>absolues</w:t>
      </w:r>
    </w:p>
    <w:p w:rsidR="00295001" w:rsidRDefault="00295001" w:rsidP="00CE19DF">
      <w:pPr>
        <w:pStyle w:val="Paragraphedeliste"/>
        <w:numPr>
          <w:ilvl w:val="0"/>
          <w:numId w:val="46"/>
        </w:numPr>
        <w:spacing w:after="0"/>
        <w:jc w:val="both"/>
        <w:rPr>
          <w:rFonts w:cs="Calibri"/>
          <w:sz w:val="24"/>
          <w:szCs w:val="24"/>
        </w:rPr>
      </w:pPr>
      <w:r w:rsidRPr="00295001">
        <w:rPr>
          <w:rFonts w:cs="Calibri"/>
          <w:sz w:val="24"/>
          <w:szCs w:val="24"/>
        </w:rPr>
        <w:t xml:space="preserve">Hypersensibilité au </w:t>
      </w:r>
      <w:r w:rsidR="00BC447C" w:rsidRPr="00295001">
        <w:rPr>
          <w:rFonts w:cs="Calibri"/>
          <w:sz w:val="24"/>
          <w:szCs w:val="24"/>
        </w:rPr>
        <w:t>principe actif ou à l’un des constituants</w:t>
      </w:r>
    </w:p>
    <w:p w:rsidR="00295001" w:rsidRDefault="00295001" w:rsidP="00CE19DF">
      <w:pPr>
        <w:pStyle w:val="Paragraphedeliste"/>
        <w:numPr>
          <w:ilvl w:val="0"/>
          <w:numId w:val="46"/>
        </w:numPr>
        <w:spacing w:after="0"/>
        <w:jc w:val="both"/>
        <w:rPr>
          <w:rFonts w:cs="Calibri"/>
          <w:sz w:val="24"/>
          <w:szCs w:val="24"/>
        </w:rPr>
      </w:pPr>
      <w:r w:rsidRPr="00295001">
        <w:rPr>
          <w:rFonts w:cs="Calibri"/>
          <w:sz w:val="24"/>
          <w:szCs w:val="24"/>
        </w:rPr>
        <w:lastRenderedPageBreak/>
        <w:t>Immunodéficience sévère</w:t>
      </w:r>
    </w:p>
    <w:p w:rsidR="00295001" w:rsidRDefault="00295001" w:rsidP="00CE19DF">
      <w:pPr>
        <w:pStyle w:val="Paragraphedeliste"/>
        <w:numPr>
          <w:ilvl w:val="0"/>
          <w:numId w:val="46"/>
        </w:numPr>
        <w:spacing w:after="0"/>
        <w:jc w:val="both"/>
        <w:rPr>
          <w:rFonts w:cs="Calibri"/>
          <w:sz w:val="24"/>
          <w:szCs w:val="24"/>
        </w:rPr>
      </w:pPr>
      <w:r w:rsidRPr="00295001">
        <w:rPr>
          <w:rFonts w:cs="Calibri"/>
          <w:sz w:val="24"/>
          <w:szCs w:val="24"/>
        </w:rPr>
        <w:t>Infections sévères chroniques et ou récidivantes bactériennes ou virales</w:t>
      </w:r>
    </w:p>
    <w:p w:rsidR="00295001" w:rsidRDefault="00295001" w:rsidP="00CE19DF">
      <w:pPr>
        <w:pStyle w:val="Paragraphedeliste"/>
        <w:numPr>
          <w:ilvl w:val="0"/>
          <w:numId w:val="46"/>
        </w:numPr>
        <w:spacing w:after="0"/>
        <w:jc w:val="both"/>
        <w:rPr>
          <w:rFonts w:cs="Calibri"/>
          <w:sz w:val="24"/>
          <w:szCs w:val="24"/>
        </w:rPr>
      </w:pPr>
      <w:r w:rsidRPr="00295001">
        <w:rPr>
          <w:rFonts w:cs="Calibri"/>
          <w:sz w:val="24"/>
          <w:szCs w:val="24"/>
        </w:rPr>
        <w:t>Insuffisance cardiaque sévère (</w:t>
      </w:r>
      <w:proofErr w:type="spellStart"/>
      <w:r w:rsidRPr="00295001">
        <w:rPr>
          <w:rFonts w:cs="Calibri"/>
          <w:sz w:val="24"/>
          <w:szCs w:val="24"/>
        </w:rPr>
        <w:t>stadeiv</w:t>
      </w:r>
      <w:proofErr w:type="spellEnd"/>
      <w:r w:rsidRPr="00295001">
        <w:rPr>
          <w:rFonts w:cs="Calibri"/>
          <w:sz w:val="24"/>
          <w:szCs w:val="24"/>
        </w:rPr>
        <w:t xml:space="preserve"> </w:t>
      </w:r>
      <w:proofErr w:type="spellStart"/>
      <w:r w:rsidRPr="00295001">
        <w:rPr>
          <w:rFonts w:cs="Calibri"/>
          <w:sz w:val="24"/>
          <w:szCs w:val="24"/>
        </w:rPr>
        <w:t>nyha</w:t>
      </w:r>
      <w:proofErr w:type="spellEnd"/>
      <w:r w:rsidRPr="00295001">
        <w:rPr>
          <w:rFonts w:cs="Calibri"/>
          <w:sz w:val="24"/>
          <w:szCs w:val="24"/>
        </w:rPr>
        <w:t xml:space="preserve">) ou maladie cardio-vasculaire non contrôlée </w:t>
      </w:r>
    </w:p>
    <w:p w:rsidR="00BC447C" w:rsidRDefault="00295001" w:rsidP="00CE19DF">
      <w:pPr>
        <w:pStyle w:val="Paragraphedeliste"/>
        <w:numPr>
          <w:ilvl w:val="0"/>
          <w:numId w:val="46"/>
        </w:numPr>
        <w:spacing w:after="0"/>
        <w:jc w:val="both"/>
        <w:rPr>
          <w:rFonts w:cs="Calibri"/>
          <w:sz w:val="24"/>
          <w:szCs w:val="24"/>
        </w:rPr>
      </w:pPr>
      <w:r w:rsidRPr="00295001">
        <w:rPr>
          <w:rFonts w:cs="Calibri"/>
          <w:sz w:val="24"/>
          <w:szCs w:val="24"/>
        </w:rPr>
        <w:t>Grossesse et allaitemen</w:t>
      </w:r>
      <w:r w:rsidR="00BC447C" w:rsidRPr="00295001">
        <w:rPr>
          <w:rFonts w:cs="Calibri"/>
          <w:sz w:val="24"/>
          <w:szCs w:val="24"/>
        </w:rPr>
        <w:t>t</w:t>
      </w:r>
    </w:p>
    <w:p w:rsidR="00637B98" w:rsidRPr="00637B98" w:rsidRDefault="00637B98" w:rsidP="00637B98">
      <w:pPr>
        <w:spacing w:after="0"/>
        <w:jc w:val="both"/>
        <w:rPr>
          <w:rFonts w:cs="Calibri"/>
          <w:sz w:val="24"/>
          <w:szCs w:val="24"/>
        </w:rPr>
      </w:pPr>
    </w:p>
    <w:p w:rsidR="00BC447C" w:rsidRPr="00675DA5" w:rsidRDefault="00BC447C" w:rsidP="00BC447C">
      <w:pPr>
        <w:spacing w:after="0"/>
        <w:jc w:val="both"/>
        <w:rPr>
          <w:rFonts w:cs="Calibri"/>
          <w:b/>
          <w:bCs/>
          <w:sz w:val="24"/>
          <w:szCs w:val="24"/>
        </w:rPr>
      </w:pPr>
      <w:r w:rsidRPr="00675DA5">
        <w:rPr>
          <w:rFonts w:cs="Calibri"/>
          <w:b/>
          <w:bCs/>
          <w:sz w:val="24"/>
          <w:szCs w:val="24"/>
        </w:rPr>
        <w:t>*à prendre en compte :</w:t>
      </w:r>
    </w:p>
    <w:p w:rsidR="00BC447C" w:rsidRPr="00233D86" w:rsidRDefault="00BC447C" w:rsidP="00CE19DF">
      <w:pPr>
        <w:pStyle w:val="Paragraphedeliste"/>
        <w:numPr>
          <w:ilvl w:val="0"/>
          <w:numId w:val="48"/>
        </w:numPr>
        <w:spacing w:after="0"/>
        <w:jc w:val="both"/>
        <w:rPr>
          <w:rFonts w:cs="Calibri"/>
          <w:sz w:val="24"/>
          <w:szCs w:val="24"/>
        </w:rPr>
      </w:pPr>
      <w:proofErr w:type="spellStart"/>
      <w:r w:rsidRPr="00233D86">
        <w:rPr>
          <w:rFonts w:cs="Calibri"/>
          <w:sz w:val="24"/>
          <w:szCs w:val="24"/>
        </w:rPr>
        <w:t>IgG</w:t>
      </w:r>
      <w:proofErr w:type="spellEnd"/>
      <w:r w:rsidRPr="00233D86">
        <w:rPr>
          <w:rFonts w:cs="Calibri"/>
          <w:sz w:val="24"/>
          <w:szCs w:val="24"/>
        </w:rPr>
        <w:t>&lt;aux normes (6g /l)</w:t>
      </w:r>
    </w:p>
    <w:p w:rsidR="00BC447C" w:rsidRPr="00233D86" w:rsidRDefault="00BC447C" w:rsidP="00CE19DF">
      <w:pPr>
        <w:pStyle w:val="Paragraphedeliste"/>
        <w:numPr>
          <w:ilvl w:val="0"/>
          <w:numId w:val="48"/>
        </w:numPr>
        <w:spacing w:after="0"/>
        <w:jc w:val="both"/>
        <w:rPr>
          <w:rFonts w:cs="Calibri"/>
          <w:sz w:val="24"/>
          <w:szCs w:val="24"/>
        </w:rPr>
      </w:pPr>
      <w:r w:rsidRPr="00233D86">
        <w:rPr>
          <w:rFonts w:cs="Calibri"/>
          <w:sz w:val="24"/>
          <w:szCs w:val="24"/>
        </w:rPr>
        <w:t>lymphopénie B ou T</w:t>
      </w:r>
    </w:p>
    <w:p w:rsidR="00BC447C" w:rsidRPr="00233D86" w:rsidRDefault="00BC447C" w:rsidP="00CE19DF">
      <w:pPr>
        <w:pStyle w:val="Paragraphedeliste"/>
        <w:numPr>
          <w:ilvl w:val="0"/>
          <w:numId w:val="48"/>
        </w:numPr>
        <w:spacing w:after="0"/>
        <w:jc w:val="both"/>
        <w:rPr>
          <w:rFonts w:cs="Calibri"/>
          <w:sz w:val="24"/>
          <w:szCs w:val="24"/>
        </w:rPr>
      </w:pPr>
      <w:r w:rsidRPr="00233D86">
        <w:rPr>
          <w:rFonts w:cs="Calibri"/>
          <w:sz w:val="24"/>
          <w:szCs w:val="24"/>
        </w:rPr>
        <w:t>Neutropénie &lt;1500/mm</w:t>
      </w:r>
    </w:p>
    <w:p w:rsidR="00BC447C" w:rsidRPr="00637B98" w:rsidRDefault="00BC447C" w:rsidP="00BC447C">
      <w:pPr>
        <w:spacing w:after="0" w:line="276" w:lineRule="auto"/>
        <w:jc w:val="both"/>
        <w:rPr>
          <w:rFonts w:cs="Calibri"/>
          <w:b/>
          <w:bCs/>
          <w:color w:val="000000" w:themeColor="text1"/>
          <w:sz w:val="24"/>
          <w:szCs w:val="24"/>
        </w:rPr>
      </w:pPr>
      <w:r w:rsidRPr="00637B98">
        <w:rPr>
          <w:rFonts w:cs="Calibri"/>
          <w:b/>
          <w:bCs/>
          <w:color w:val="000000" w:themeColor="text1"/>
          <w:sz w:val="24"/>
          <w:szCs w:val="24"/>
        </w:rPr>
        <w:t>Bilan pré thérapeutique :</w:t>
      </w:r>
    </w:p>
    <w:p w:rsidR="00BC447C" w:rsidRPr="00233D86" w:rsidRDefault="00233D86" w:rsidP="00CE19DF">
      <w:pPr>
        <w:pStyle w:val="Paragraphedeliste"/>
        <w:numPr>
          <w:ilvl w:val="0"/>
          <w:numId w:val="47"/>
        </w:numPr>
        <w:spacing w:after="0"/>
        <w:jc w:val="both"/>
        <w:rPr>
          <w:rFonts w:cs="Calibri"/>
          <w:sz w:val="24"/>
          <w:szCs w:val="24"/>
        </w:rPr>
      </w:pPr>
      <w:r w:rsidRPr="00233D86">
        <w:rPr>
          <w:rFonts w:cs="Calibri"/>
          <w:sz w:val="24"/>
          <w:szCs w:val="24"/>
        </w:rPr>
        <w:t>Hémogramme</w:t>
      </w:r>
    </w:p>
    <w:p w:rsidR="00BC447C" w:rsidRPr="00233D86" w:rsidRDefault="0031214B" w:rsidP="00CE19DF">
      <w:pPr>
        <w:pStyle w:val="Paragraphedeliste"/>
        <w:numPr>
          <w:ilvl w:val="0"/>
          <w:numId w:val="47"/>
        </w:numPr>
        <w:spacing w:after="0"/>
        <w:jc w:val="both"/>
        <w:rPr>
          <w:rFonts w:cs="Calibri"/>
          <w:sz w:val="24"/>
          <w:szCs w:val="24"/>
        </w:rPr>
      </w:pPr>
      <w:r w:rsidRPr="00233D86">
        <w:rPr>
          <w:rFonts w:cs="Calibri"/>
          <w:sz w:val="24"/>
          <w:szCs w:val="24"/>
        </w:rPr>
        <w:t>EPPS</w:t>
      </w:r>
    </w:p>
    <w:p w:rsidR="00BC447C" w:rsidRPr="00233D86" w:rsidRDefault="00233D86" w:rsidP="00CE19DF">
      <w:pPr>
        <w:pStyle w:val="Paragraphedeliste"/>
        <w:numPr>
          <w:ilvl w:val="0"/>
          <w:numId w:val="47"/>
        </w:numPr>
        <w:spacing w:after="0"/>
        <w:jc w:val="both"/>
        <w:rPr>
          <w:rFonts w:cs="Calibri"/>
          <w:sz w:val="24"/>
          <w:szCs w:val="24"/>
        </w:rPr>
      </w:pPr>
      <w:r w:rsidRPr="00233D86">
        <w:rPr>
          <w:rFonts w:cs="Calibri"/>
          <w:sz w:val="24"/>
          <w:szCs w:val="24"/>
        </w:rPr>
        <w:t xml:space="preserve">Dosage pondéral des </w:t>
      </w:r>
      <w:proofErr w:type="spellStart"/>
      <w:r w:rsidRPr="00233D86">
        <w:rPr>
          <w:rFonts w:cs="Calibri"/>
          <w:sz w:val="24"/>
          <w:szCs w:val="24"/>
        </w:rPr>
        <w:t>ig</w:t>
      </w:r>
      <w:proofErr w:type="spellEnd"/>
    </w:p>
    <w:p w:rsidR="00BC447C" w:rsidRPr="00233D86" w:rsidRDefault="00233D86" w:rsidP="00CE19DF">
      <w:pPr>
        <w:pStyle w:val="Paragraphedeliste"/>
        <w:numPr>
          <w:ilvl w:val="0"/>
          <w:numId w:val="47"/>
        </w:numPr>
        <w:spacing w:after="0"/>
        <w:jc w:val="both"/>
        <w:rPr>
          <w:rFonts w:cs="Calibri"/>
          <w:sz w:val="24"/>
          <w:szCs w:val="24"/>
        </w:rPr>
      </w:pPr>
      <w:r w:rsidRPr="00233D86">
        <w:rPr>
          <w:rFonts w:cs="Calibri"/>
          <w:sz w:val="24"/>
          <w:szCs w:val="24"/>
        </w:rPr>
        <w:t>Sérologies : hépatites b, c, hiv</w:t>
      </w:r>
    </w:p>
    <w:p w:rsidR="00BC447C" w:rsidRPr="00233D86" w:rsidRDefault="00233D86" w:rsidP="00CE19DF">
      <w:pPr>
        <w:pStyle w:val="Paragraphedeliste"/>
        <w:numPr>
          <w:ilvl w:val="0"/>
          <w:numId w:val="47"/>
        </w:numPr>
        <w:spacing w:after="0"/>
        <w:jc w:val="both"/>
        <w:rPr>
          <w:rFonts w:cs="Calibri"/>
          <w:sz w:val="24"/>
          <w:szCs w:val="24"/>
        </w:rPr>
      </w:pPr>
      <w:r w:rsidRPr="00233D86">
        <w:rPr>
          <w:rFonts w:cs="Calibri"/>
          <w:sz w:val="24"/>
          <w:szCs w:val="24"/>
        </w:rPr>
        <w:t>R</w:t>
      </w:r>
      <w:r w:rsidR="00BC447C" w:rsidRPr="00233D86">
        <w:rPr>
          <w:rFonts w:cs="Calibri"/>
          <w:sz w:val="24"/>
          <w:szCs w:val="24"/>
        </w:rPr>
        <w:t>adiographie du thorax</w:t>
      </w:r>
    </w:p>
    <w:p w:rsidR="00BC447C" w:rsidRPr="00233D86" w:rsidRDefault="00BC447C" w:rsidP="00CE19DF">
      <w:pPr>
        <w:pStyle w:val="Paragraphedeliste"/>
        <w:numPr>
          <w:ilvl w:val="0"/>
          <w:numId w:val="47"/>
        </w:numPr>
        <w:spacing w:after="0"/>
        <w:jc w:val="both"/>
        <w:rPr>
          <w:rFonts w:cs="Calibri"/>
          <w:sz w:val="24"/>
          <w:szCs w:val="24"/>
        </w:rPr>
      </w:pPr>
      <w:r w:rsidRPr="00233D86">
        <w:rPr>
          <w:rFonts w:cs="Calibri"/>
          <w:sz w:val="24"/>
          <w:szCs w:val="24"/>
        </w:rPr>
        <w:t>Echographie cardiaque</w:t>
      </w:r>
    </w:p>
    <w:p w:rsidR="00BC447C" w:rsidRPr="00233D86" w:rsidRDefault="0031214B" w:rsidP="00CE19DF">
      <w:pPr>
        <w:pStyle w:val="Paragraphedeliste"/>
        <w:numPr>
          <w:ilvl w:val="0"/>
          <w:numId w:val="47"/>
        </w:numPr>
        <w:spacing w:after="0"/>
        <w:jc w:val="both"/>
        <w:rPr>
          <w:rFonts w:cs="Calibri"/>
          <w:sz w:val="24"/>
          <w:szCs w:val="24"/>
        </w:rPr>
      </w:pPr>
      <w:r w:rsidRPr="00233D86">
        <w:rPr>
          <w:rFonts w:cs="Calibri"/>
          <w:sz w:val="24"/>
          <w:szCs w:val="24"/>
        </w:rPr>
        <w:t>ECBU</w:t>
      </w:r>
    </w:p>
    <w:p w:rsidR="00BC447C" w:rsidRPr="00233D86" w:rsidRDefault="00BC447C" w:rsidP="00CE19DF">
      <w:pPr>
        <w:pStyle w:val="Paragraphedeliste"/>
        <w:numPr>
          <w:ilvl w:val="0"/>
          <w:numId w:val="47"/>
        </w:numPr>
        <w:spacing w:after="0"/>
        <w:jc w:val="both"/>
        <w:rPr>
          <w:rFonts w:cs="Calibri"/>
          <w:sz w:val="24"/>
          <w:szCs w:val="24"/>
        </w:rPr>
      </w:pPr>
      <w:r w:rsidRPr="00233D86">
        <w:rPr>
          <w:rFonts w:cs="Calibri"/>
          <w:sz w:val="24"/>
          <w:szCs w:val="24"/>
        </w:rPr>
        <w:t>Si possible typage lymphocytaire</w:t>
      </w:r>
    </w:p>
    <w:p w:rsidR="00BC447C" w:rsidRPr="00637B98" w:rsidRDefault="00BC447C" w:rsidP="00BC447C">
      <w:pPr>
        <w:spacing w:after="0" w:line="276" w:lineRule="auto"/>
        <w:jc w:val="both"/>
        <w:rPr>
          <w:rFonts w:cs="Calibri"/>
          <w:b/>
          <w:bCs/>
          <w:color w:val="000000" w:themeColor="text1"/>
          <w:sz w:val="24"/>
          <w:szCs w:val="24"/>
        </w:rPr>
      </w:pPr>
      <w:r w:rsidRPr="00637B98">
        <w:rPr>
          <w:rFonts w:cs="Calibri"/>
          <w:b/>
          <w:bCs/>
          <w:color w:val="000000" w:themeColor="text1"/>
          <w:sz w:val="24"/>
          <w:szCs w:val="24"/>
        </w:rPr>
        <w:t xml:space="preserve">Effets indésirables : </w:t>
      </w:r>
    </w:p>
    <w:p w:rsidR="00BC447C" w:rsidRPr="00675DA5" w:rsidRDefault="00BC447C" w:rsidP="00BC447C">
      <w:pPr>
        <w:spacing w:after="0"/>
        <w:jc w:val="both"/>
        <w:rPr>
          <w:rFonts w:cs="Calibri"/>
          <w:sz w:val="24"/>
          <w:szCs w:val="24"/>
        </w:rPr>
      </w:pPr>
      <w:r w:rsidRPr="00675DA5">
        <w:rPr>
          <w:rFonts w:cs="Calibri"/>
          <w:sz w:val="24"/>
          <w:szCs w:val="24"/>
        </w:rPr>
        <w:t>-Les plus fréquents : Réactions lors de la 1</w:t>
      </w:r>
      <w:r w:rsidRPr="00675DA5">
        <w:rPr>
          <w:rFonts w:cs="Calibri"/>
          <w:sz w:val="24"/>
          <w:szCs w:val="24"/>
          <w:vertAlign w:val="superscript"/>
        </w:rPr>
        <w:t>ère</w:t>
      </w:r>
      <w:r w:rsidRPr="00675DA5">
        <w:rPr>
          <w:rFonts w:cs="Calibri"/>
          <w:sz w:val="24"/>
          <w:szCs w:val="24"/>
        </w:rPr>
        <w:t xml:space="preserve"> perfusion liées à la libération de cytokines (hypo/</w:t>
      </w:r>
      <w:r w:rsidR="00233D86" w:rsidRPr="00675DA5">
        <w:rPr>
          <w:rFonts w:cs="Calibri"/>
          <w:sz w:val="24"/>
          <w:szCs w:val="24"/>
        </w:rPr>
        <w:t>hypertension</w:t>
      </w:r>
      <w:r w:rsidRPr="00675DA5">
        <w:rPr>
          <w:rFonts w:cs="Calibri"/>
          <w:sz w:val="24"/>
          <w:szCs w:val="24"/>
        </w:rPr>
        <w:t>, nausées, rash, bronchospasme, fièvre), pouvant être réduites en ↓ la dose (500mg au lieu de 1 g) et le débit, et par un traitement préventif.</w:t>
      </w:r>
    </w:p>
    <w:p w:rsidR="00BC447C" w:rsidRPr="00675DA5" w:rsidRDefault="00BC447C" w:rsidP="00BC447C">
      <w:pPr>
        <w:spacing w:after="0"/>
        <w:jc w:val="both"/>
        <w:rPr>
          <w:rFonts w:cs="Calibri"/>
          <w:sz w:val="24"/>
          <w:szCs w:val="24"/>
        </w:rPr>
      </w:pPr>
      <w:r w:rsidRPr="00675DA5">
        <w:rPr>
          <w:rFonts w:cs="Calibri"/>
          <w:sz w:val="24"/>
          <w:szCs w:val="24"/>
        </w:rPr>
        <w:t>-Risque infectieux : moindre /anti-TNFα</w:t>
      </w:r>
    </w:p>
    <w:p w:rsidR="00BC447C" w:rsidRPr="00675DA5" w:rsidRDefault="00BC447C" w:rsidP="00BC447C">
      <w:pPr>
        <w:spacing w:after="0"/>
        <w:jc w:val="both"/>
        <w:rPr>
          <w:rFonts w:cs="Calibri"/>
          <w:sz w:val="24"/>
          <w:szCs w:val="24"/>
        </w:rPr>
      </w:pPr>
      <w:r w:rsidRPr="00675DA5">
        <w:rPr>
          <w:rFonts w:cs="Calibri"/>
          <w:sz w:val="24"/>
          <w:szCs w:val="24"/>
        </w:rPr>
        <w:t>-Risque théorique de survenue de tumeurs solides, non prouvé</w:t>
      </w:r>
    </w:p>
    <w:p w:rsidR="00BC447C" w:rsidRPr="00637B98" w:rsidRDefault="00BC447C" w:rsidP="00BC447C">
      <w:pPr>
        <w:spacing w:after="0"/>
        <w:jc w:val="both"/>
        <w:rPr>
          <w:rFonts w:cs="Calibri"/>
          <w:b/>
          <w:bCs/>
          <w:color w:val="000000" w:themeColor="text1"/>
          <w:sz w:val="24"/>
          <w:szCs w:val="24"/>
        </w:rPr>
      </w:pPr>
      <w:r w:rsidRPr="00637B98">
        <w:rPr>
          <w:rFonts w:cs="Calibri"/>
          <w:b/>
          <w:bCs/>
          <w:color w:val="000000" w:themeColor="text1"/>
          <w:sz w:val="24"/>
          <w:szCs w:val="24"/>
        </w:rPr>
        <w:t>Précautions d’emploi :</w:t>
      </w:r>
    </w:p>
    <w:p w:rsidR="00BC447C" w:rsidRPr="00675DA5" w:rsidRDefault="00BC447C" w:rsidP="00BC447C">
      <w:pPr>
        <w:spacing w:after="0"/>
        <w:jc w:val="both"/>
        <w:rPr>
          <w:rFonts w:cs="Calibri"/>
          <w:sz w:val="24"/>
          <w:szCs w:val="24"/>
        </w:rPr>
      </w:pPr>
      <w:r w:rsidRPr="00675DA5">
        <w:rPr>
          <w:rFonts w:cs="Calibri"/>
          <w:sz w:val="24"/>
          <w:szCs w:val="24"/>
        </w:rPr>
        <w:t>-chez  les patients hypertendus, interrompre le traitement au moins 12 h avant la perfusions</w:t>
      </w:r>
    </w:p>
    <w:p w:rsidR="00BC447C" w:rsidRPr="00675DA5" w:rsidRDefault="00BC447C" w:rsidP="00BC447C">
      <w:pPr>
        <w:spacing w:after="0"/>
        <w:jc w:val="both"/>
        <w:rPr>
          <w:rFonts w:cs="Calibri"/>
          <w:sz w:val="24"/>
          <w:szCs w:val="24"/>
        </w:rPr>
      </w:pPr>
      <w:r w:rsidRPr="00675DA5">
        <w:rPr>
          <w:rFonts w:cs="Calibri"/>
          <w:sz w:val="24"/>
          <w:szCs w:val="24"/>
        </w:rPr>
        <w:t>- vaccination préventive, avec délai minimum de 4 semaines avant la 1</w:t>
      </w:r>
      <w:r w:rsidRPr="00675DA5">
        <w:rPr>
          <w:rFonts w:cs="Calibri"/>
          <w:sz w:val="24"/>
          <w:szCs w:val="24"/>
          <w:vertAlign w:val="superscript"/>
        </w:rPr>
        <w:t>ère</w:t>
      </w:r>
      <w:r w:rsidRPr="00675DA5">
        <w:rPr>
          <w:rFonts w:cs="Calibri"/>
          <w:sz w:val="24"/>
          <w:szCs w:val="24"/>
        </w:rPr>
        <w:t xml:space="preserve"> perfusion</w:t>
      </w:r>
    </w:p>
    <w:p w:rsidR="00BC447C" w:rsidRPr="00675DA5" w:rsidRDefault="00BC447C" w:rsidP="00BC447C">
      <w:pPr>
        <w:spacing w:after="0"/>
        <w:jc w:val="both"/>
        <w:rPr>
          <w:rFonts w:cs="Calibri"/>
          <w:sz w:val="24"/>
          <w:szCs w:val="24"/>
        </w:rPr>
      </w:pPr>
      <w:r w:rsidRPr="00675DA5">
        <w:rPr>
          <w:rFonts w:cs="Calibri"/>
          <w:sz w:val="24"/>
          <w:szCs w:val="24"/>
        </w:rPr>
        <w:t>- en cas de traitement  antérieur par anti-TNFα, un délai minimum de 4 semaine</w:t>
      </w:r>
      <w:r w:rsidR="00F867D3">
        <w:rPr>
          <w:rFonts w:cs="Calibri"/>
          <w:sz w:val="24"/>
          <w:szCs w:val="24"/>
        </w:rPr>
        <w:t xml:space="preserve">s doit être respecté pour </w:t>
      </w:r>
      <w:proofErr w:type="spellStart"/>
      <w:r w:rsidR="00F867D3">
        <w:rPr>
          <w:rFonts w:cs="Calibri"/>
          <w:sz w:val="24"/>
          <w:szCs w:val="24"/>
        </w:rPr>
        <w:t>étaner</w:t>
      </w:r>
      <w:r w:rsidRPr="00675DA5">
        <w:rPr>
          <w:rFonts w:cs="Calibri"/>
          <w:sz w:val="24"/>
          <w:szCs w:val="24"/>
        </w:rPr>
        <w:t>cept</w:t>
      </w:r>
      <w:proofErr w:type="spellEnd"/>
      <w:r w:rsidRPr="00675DA5">
        <w:rPr>
          <w:rFonts w:cs="Calibri"/>
          <w:sz w:val="24"/>
          <w:szCs w:val="24"/>
        </w:rPr>
        <w:t xml:space="preserve">, et de 8 semaines pour </w:t>
      </w:r>
      <w:proofErr w:type="spellStart"/>
      <w:r w:rsidRPr="00675DA5">
        <w:rPr>
          <w:rFonts w:cs="Calibri"/>
          <w:sz w:val="24"/>
          <w:szCs w:val="24"/>
        </w:rPr>
        <w:t>infliximab</w:t>
      </w:r>
      <w:proofErr w:type="spellEnd"/>
      <w:r w:rsidRPr="00675DA5">
        <w:rPr>
          <w:rFonts w:cs="Calibri"/>
          <w:sz w:val="24"/>
          <w:szCs w:val="24"/>
        </w:rPr>
        <w:t xml:space="preserve"> et </w:t>
      </w:r>
      <w:proofErr w:type="spellStart"/>
      <w:r w:rsidRPr="00675DA5">
        <w:rPr>
          <w:rFonts w:cs="Calibri"/>
          <w:sz w:val="24"/>
          <w:szCs w:val="24"/>
        </w:rPr>
        <w:t>adalimumab</w:t>
      </w:r>
      <w:proofErr w:type="spellEnd"/>
    </w:p>
    <w:p w:rsidR="00BC447C" w:rsidRDefault="00BC447C" w:rsidP="00BC447C">
      <w:pPr>
        <w:spacing w:after="0"/>
        <w:jc w:val="both"/>
        <w:rPr>
          <w:rFonts w:cs="Calibri"/>
          <w:sz w:val="24"/>
          <w:szCs w:val="24"/>
        </w:rPr>
      </w:pPr>
      <w:r w:rsidRPr="00675DA5">
        <w:rPr>
          <w:rFonts w:cs="Calibri"/>
          <w:sz w:val="24"/>
          <w:szCs w:val="24"/>
        </w:rPr>
        <w:t xml:space="preserve">-les femmes en âge de procréer doivent se soumettre à une contraception efficace pendant le traitement et jusqu’à12 mois </w:t>
      </w:r>
      <w:r w:rsidR="00F867D3" w:rsidRPr="00675DA5">
        <w:rPr>
          <w:rFonts w:cs="Calibri"/>
          <w:sz w:val="24"/>
          <w:szCs w:val="24"/>
        </w:rPr>
        <w:t>après</w:t>
      </w:r>
      <w:r w:rsidR="00F867D3">
        <w:rPr>
          <w:rFonts w:cs="Calibri"/>
          <w:sz w:val="24"/>
          <w:szCs w:val="24"/>
        </w:rPr>
        <w:t>.</w:t>
      </w:r>
    </w:p>
    <w:p w:rsidR="00BC447C" w:rsidRDefault="00BC447C" w:rsidP="00BC447C">
      <w:pPr>
        <w:spacing w:after="0"/>
        <w:jc w:val="both"/>
        <w:rPr>
          <w:rFonts w:cs="Calibri"/>
          <w:sz w:val="24"/>
          <w:szCs w:val="24"/>
        </w:rPr>
      </w:pPr>
    </w:p>
    <w:p w:rsidR="00BC447C" w:rsidRPr="00637B98" w:rsidRDefault="00BC447C" w:rsidP="00BC447C">
      <w:pPr>
        <w:spacing w:after="0"/>
        <w:jc w:val="both"/>
        <w:rPr>
          <w:rFonts w:cs="Calibri"/>
          <w:color w:val="000000" w:themeColor="text1"/>
          <w:sz w:val="24"/>
          <w:szCs w:val="24"/>
        </w:rPr>
      </w:pPr>
      <w:r w:rsidRPr="00637B98">
        <w:rPr>
          <w:rFonts w:cs="Calibri"/>
          <w:b/>
          <w:bCs/>
          <w:color w:val="000000" w:themeColor="text1"/>
          <w:sz w:val="24"/>
          <w:szCs w:val="24"/>
        </w:rPr>
        <w:t xml:space="preserve">Suivi : </w:t>
      </w:r>
    </w:p>
    <w:p w:rsidR="00BC447C" w:rsidRPr="00675DA5" w:rsidRDefault="00BC447C" w:rsidP="00CE19DF">
      <w:pPr>
        <w:numPr>
          <w:ilvl w:val="0"/>
          <w:numId w:val="26"/>
        </w:numPr>
        <w:spacing w:after="0" w:line="276" w:lineRule="auto"/>
        <w:jc w:val="both"/>
        <w:rPr>
          <w:rFonts w:cs="Calibri"/>
          <w:sz w:val="24"/>
          <w:szCs w:val="24"/>
        </w:rPr>
      </w:pPr>
      <w:r w:rsidRPr="00675DA5">
        <w:rPr>
          <w:rFonts w:cs="Calibri"/>
          <w:sz w:val="24"/>
          <w:szCs w:val="24"/>
        </w:rPr>
        <w:t>Evaluation des effets thérapeutiques </w:t>
      </w:r>
      <w:r w:rsidRPr="00675DA5">
        <w:rPr>
          <w:rFonts w:cs="Calibri"/>
          <w:sz w:val="24"/>
          <w:szCs w:val="24"/>
        </w:rPr>
        <w:sym w:font="Wingdings" w:char="F0E0"/>
      </w:r>
      <w:r w:rsidRPr="00675DA5">
        <w:rPr>
          <w:rFonts w:cs="Calibri"/>
          <w:sz w:val="24"/>
          <w:szCs w:val="24"/>
        </w:rPr>
        <w:t>clinique, biologique et radiologique</w:t>
      </w:r>
    </w:p>
    <w:p w:rsidR="00BC447C" w:rsidRPr="00675DA5" w:rsidRDefault="00BC447C" w:rsidP="00CE19DF">
      <w:pPr>
        <w:pStyle w:val="Paragraphedeliste"/>
        <w:numPr>
          <w:ilvl w:val="0"/>
          <w:numId w:val="25"/>
        </w:numPr>
        <w:spacing w:after="0" w:line="276" w:lineRule="auto"/>
        <w:ind w:left="0"/>
        <w:jc w:val="both"/>
        <w:rPr>
          <w:rFonts w:cs="Calibri"/>
          <w:sz w:val="24"/>
          <w:szCs w:val="24"/>
        </w:rPr>
      </w:pPr>
      <w:r w:rsidRPr="00675DA5">
        <w:rPr>
          <w:rFonts w:cs="Calibri"/>
          <w:sz w:val="24"/>
          <w:szCs w:val="24"/>
        </w:rPr>
        <w:t xml:space="preserve">clinique : DAS28, </w:t>
      </w:r>
    </w:p>
    <w:p w:rsidR="00BC447C" w:rsidRPr="00675DA5" w:rsidRDefault="00BC447C" w:rsidP="00CE19DF">
      <w:pPr>
        <w:pStyle w:val="Paragraphedeliste"/>
        <w:numPr>
          <w:ilvl w:val="0"/>
          <w:numId w:val="25"/>
        </w:numPr>
        <w:spacing w:after="0" w:line="276" w:lineRule="auto"/>
        <w:ind w:left="0"/>
        <w:jc w:val="both"/>
        <w:rPr>
          <w:rFonts w:cs="Calibri"/>
          <w:sz w:val="24"/>
          <w:szCs w:val="24"/>
        </w:rPr>
      </w:pPr>
      <w:r w:rsidRPr="00675DA5">
        <w:rPr>
          <w:rFonts w:cs="Calibri"/>
          <w:sz w:val="24"/>
          <w:szCs w:val="24"/>
        </w:rPr>
        <w:t>biologie : VS, CRP</w:t>
      </w:r>
    </w:p>
    <w:p w:rsidR="00BC447C" w:rsidRPr="00675DA5" w:rsidRDefault="00BC447C" w:rsidP="00CE19DF">
      <w:pPr>
        <w:pStyle w:val="Paragraphedeliste"/>
        <w:numPr>
          <w:ilvl w:val="0"/>
          <w:numId w:val="25"/>
        </w:numPr>
        <w:spacing w:after="0" w:line="276" w:lineRule="auto"/>
        <w:ind w:left="0"/>
        <w:jc w:val="both"/>
        <w:rPr>
          <w:rFonts w:cs="Calibri"/>
          <w:sz w:val="24"/>
          <w:szCs w:val="24"/>
        </w:rPr>
      </w:pPr>
      <w:r w:rsidRPr="00675DA5">
        <w:rPr>
          <w:rFonts w:cs="Calibri"/>
          <w:sz w:val="24"/>
          <w:szCs w:val="24"/>
        </w:rPr>
        <w:t>radiographie : mains, poignets, avants-pieds</w:t>
      </w:r>
    </w:p>
    <w:p w:rsidR="00BC447C" w:rsidRPr="00675DA5" w:rsidRDefault="00BC447C" w:rsidP="00BC447C">
      <w:pPr>
        <w:pStyle w:val="Paragraphedeliste"/>
        <w:spacing w:after="0"/>
        <w:ind w:left="0"/>
        <w:jc w:val="both"/>
        <w:rPr>
          <w:rFonts w:cs="Calibri"/>
          <w:sz w:val="24"/>
          <w:szCs w:val="24"/>
        </w:rPr>
      </w:pPr>
      <w:r w:rsidRPr="00675DA5">
        <w:rPr>
          <w:rFonts w:cs="Calibri"/>
          <w:sz w:val="24"/>
          <w:szCs w:val="24"/>
        </w:rPr>
        <w:t>Les effets thérapeutiques sont appréciés à la 16</w:t>
      </w:r>
      <w:r w:rsidRPr="00675DA5">
        <w:rPr>
          <w:rFonts w:cs="Calibri"/>
          <w:sz w:val="24"/>
          <w:szCs w:val="24"/>
          <w:vertAlign w:val="superscript"/>
        </w:rPr>
        <w:t>ème</w:t>
      </w:r>
      <w:r w:rsidRPr="00675DA5">
        <w:rPr>
          <w:rFonts w:cs="Calibri"/>
          <w:sz w:val="24"/>
          <w:szCs w:val="24"/>
        </w:rPr>
        <w:t xml:space="preserve"> semaine, mais on peut avoir une réponse clinique précoce dés1 mois</w:t>
      </w:r>
    </w:p>
    <w:p w:rsidR="00BC447C" w:rsidRPr="00675DA5" w:rsidRDefault="00BC447C" w:rsidP="00CE19DF">
      <w:pPr>
        <w:numPr>
          <w:ilvl w:val="0"/>
          <w:numId w:val="26"/>
        </w:numPr>
        <w:spacing w:after="0" w:line="276" w:lineRule="auto"/>
        <w:jc w:val="both"/>
        <w:rPr>
          <w:rFonts w:cs="Calibri"/>
          <w:sz w:val="24"/>
          <w:szCs w:val="24"/>
        </w:rPr>
      </w:pPr>
      <w:r w:rsidRPr="00675DA5">
        <w:rPr>
          <w:rFonts w:cs="Calibri"/>
          <w:sz w:val="24"/>
          <w:szCs w:val="24"/>
        </w:rPr>
        <w:t>Tolérance : clinique et biologique, Hémogramme tous les 3 mois</w:t>
      </w:r>
    </w:p>
    <w:p w:rsidR="00BC447C" w:rsidRPr="00675DA5" w:rsidRDefault="00BC447C" w:rsidP="00CE19DF">
      <w:pPr>
        <w:numPr>
          <w:ilvl w:val="0"/>
          <w:numId w:val="26"/>
        </w:numPr>
        <w:spacing w:after="0" w:line="276" w:lineRule="auto"/>
        <w:jc w:val="both"/>
        <w:rPr>
          <w:rFonts w:cs="Calibri"/>
          <w:sz w:val="24"/>
          <w:szCs w:val="24"/>
        </w:rPr>
      </w:pPr>
      <w:r w:rsidRPr="00675DA5">
        <w:rPr>
          <w:rFonts w:cs="Calibri"/>
          <w:sz w:val="24"/>
          <w:szCs w:val="24"/>
        </w:rPr>
        <w:t xml:space="preserve">Retraitement par le </w:t>
      </w:r>
      <w:proofErr w:type="spellStart"/>
      <w:r w:rsidRPr="00675DA5">
        <w:rPr>
          <w:rFonts w:cs="Calibri"/>
          <w:sz w:val="24"/>
          <w:szCs w:val="24"/>
        </w:rPr>
        <w:t>rituximab</w:t>
      </w:r>
      <w:proofErr w:type="spellEnd"/>
      <w:r w:rsidRPr="00675DA5">
        <w:rPr>
          <w:rFonts w:cs="Calibri"/>
          <w:sz w:val="24"/>
          <w:szCs w:val="24"/>
        </w:rPr>
        <w:t> : Le retraitement peut être envisagé chez les malades répondeurs,</w:t>
      </w:r>
    </w:p>
    <w:p w:rsidR="00BC447C" w:rsidRPr="00675DA5" w:rsidRDefault="00BC447C" w:rsidP="00BC447C">
      <w:pPr>
        <w:spacing w:after="0"/>
        <w:jc w:val="both"/>
        <w:rPr>
          <w:rFonts w:cs="Calibri"/>
          <w:sz w:val="24"/>
          <w:szCs w:val="24"/>
        </w:rPr>
      </w:pPr>
      <w:r w:rsidRPr="00675DA5">
        <w:rPr>
          <w:rFonts w:cs="Calibri"/>
          <w:sz w:val="24"/>
          <w:szCs w:val="24"/>
        </w:rPr>
        <w:t>La réponse clinique est représentée par une baisse du DAS28 d’au moins 1,2</w:t>
      </w:r>
      <w:r w:rsidRPr="00675DA5">
        <w:rPr>
          <w:rFonts w:cs="Calibri"/>
          <w:sz w:val="24"/>
          <w:szCs w:val="24"/>
        </w:rPr>
        <w:tab/>
        <w:t xml:space="preserve"> ou activité faible c.-à-d. DAS28 ≤3,2</w:t>
      </w:r>
    </w:p>
    <w:p w:rsidR="00637B98" w:rsidRDefault="00BC447C" w:rsidP="00BC447C">
      <w:pPr>
        <w:spacing w:after="0"/>
        <w:jc w:val="both"/>
        <w:rPr>
          <w:rFonts w:cs="Calibri"/>
          <w:sz w:val="24"/>
          <w:szCs w:val="24"/>
        </w:rPr>
      </w:pPr>
      <w:r w:rsidRPr="00675DA5">
        <w:rPr>
          <w:rFonts w:cs="Calibri"/>
          <w:sz w:val="24"/>
          <w:szCs w:val="24"/>
        </w:rPr>
        <w:lastRenderedPageBreak/>
        <w:t xml:space="preserve">Le retraitement est indiqué si rechute : aggravation du DAS≥0,6, ou chez un patient qui garde une (PR) active avec DAS≥3,2, SDAI&gt;11, CDAI&gt;10. </w:t>
      </w:r>
    </w:p>
    <w:p w:rsidR="00BC447C" w:rsidRDefault="00BC447C" w:rsidP="00BC447C">
      <w:pPr>
        <w:spacing w:after="0"/>
        <w:jc w:val="both"/>
        <w:rPr>
          <w:rFonts w:cs="Calibri"/>
          <w:sz w:val="24"/>
          <w:szCs w:val="24"/>
        </w:rPr>
      </w:pPr>
      <w:r w:rsidRPr="00675DA5">
        <w:rPr>
          <w:rFonts w:cs="Calibri"/>
          <w:sz w:val="24"/>
          <w:szCs w:val="24"/>
        </w:rPr>
        <w:t xml:space="preserve">Le retraitement est pratiqué à partir  de 6 mois avec les mêmes modalités </w:t>
      </w:r>
    </w:p>
    <w:p w:rsidR="004D1E41" w:rsidRDefault="004D1E41" w:rsidP="00BC447C">
      <w:pPr>
        <w:spacing w:after="0"/>
        <w:jc w:val="both"/>
        <w:rPr>
          <w:rFonts w:cs="Calibri"/>
          <w:b/>
          <w:bCs/>
          <w:sz w:val="24"/>
          <w:szCs w:val="24"/>
        </w:rPr>
      </w:pPr>
    </w:p>
    <w:p w:rsidR="00A67C90" w:rsidRPr="00A67C90" w:rsidRDefault="00A67C90" w:rsidP="00A67C90">
      <w:pPr>
        <w:spacing w:after="0" w:line="276" w:lineRule="auto"/>
        <w:jc w:val="both"/>
        <w:rPr>
          <w:rFonts w:cs="Calibri"/>
          <w:b/>
          <w:sz w:val="28"/>
          <w:szCs w:val="24"/>
        </w:rPr>
      </w:pPr>
      <w:r w:rsidRPr="00A67C90">
        <w:rPr>
          <w:rFonts w:cs="Calibri"/>
          <w:b/>
          <w:sz w:val="28"/>
          <w:szCs w:val="24"/>
        </w:rPr>
        <w:t xml:space="preserve">Inhibiteurs de l’IL6 : </w:t>
      </w:r>
      <w:proofErr w:type="spellStart"/>
      <w:r w:rsidRPr="00A67C90">
        <w:rPr>
          <w:rFonts w:cs="Calibri"/>
          <w:b/>
          <w:sz w:val="28"/>
          <w:szCs w:val="24"/>
        </w:rPr>
        <w:t>Tocilizumab</w:t>
      </w:r>
      <w:proofErr w:type="spellEnd"/>
      <w:r w:rsidRPr="00A67C90">
        <w:rPr>
          <w:rFonts w:cs="Calibri"/>
          <w:b/>
          <w:sz w:val="28"/>
          <w:szCs w:val="24"/>
        </w:rPr>
        <w:t>(</w:t>
      </w:r>
      <w:proofErr w:type="spellStart"/>
      <w:r w:rsidRPr="00A67C90">
        <w:rPr>
          <w:rFonts w:cs="Calibri"/>
          <w:b/>
          <w:sz w:val="28"/>
          <w:szCs w:val="24"/>
        </w:rPr>
        <w:t>Actemra</w:t>
      </w:r>
      <w:proofErr w:type="spellEnd"/>
      <w:r w:rsidRPr="00A67C90">
        <w:rPr>
          <w:rFonts w:cs="Calibri"/>
          <w:b/>
          <w:sz w:val="28"/>
          <w:szCs w:val="24"/>
        </w:rPr>
        <w:t>)</w:t>
      </w:r>
    </w:p>
    <w:p w:rsidR="00634217" w:rsidRDefault="00634217" w:rsidP="00634217">
      <w:pPr>
        <w:spacing w:after="0"/>
        <w:jc w:val="both"/>
        <w:rPr>
          <w:sz w:val="24"/>
          <w:szCs w:val="24"/>
        </w:rPr>
      </w:pPr>
    </w:p>
    <w:p w:rsidR="00634217" w:rsidRPr="00A67C90" w:rsidRDefault="00634217" w:rsidP="00634217">
      <w:pPr>
        <w:spacing w:after="0" w:line="276" w:lineRule="auto"/>
        <w:rPr>
          <w:rFonts w:cs="Calibri"/>
          <w:b/>
          <w:bCs/>
          <w:color w:val="000000" w:themeColor="text1"/>
          <w:sz w:val="24"/>
          <w:szCs w:val="24"/>
        </w:rPr>
      </w:pPr>
      <w:r w:rsidRPr="00A67C90">
        <w:rPr>
          <w:rFonts w:cs="Calibri"/>
          <w:b/>
          <w:bCs/>
          <w:color w:val="000000" w:themeColor="text1"/>
          <w:sz w:val="24"/>
          <w:szCs w:val="24"/>
        </w:rPr>
        <w:t>Mécanisme d'action :</w:t>
      </w:r>
    </w:p>
    <w:p w:rsidR="00634217" w:rsidRPr="00675DA5" w:rsidRDefault="00634217" w:rsidP="00634217">
      <w:pPr>
        <w:spacing w:after="0"/>
        <w:jc w:val="both"/>
        <w:rPr>
          <w:rFonts w:cs="Calibri"/>
          <w:b/>
          <w:bCs/>
          <w:sz w:val="24"/>
          <w:szCs w:val="24"/>
        </w:rPr>
      </w:pPr>
      <w:r w:rsidRPr="00675DA5">
        <w:rPr>
          <w:rFonts w:cs="Calibri"/>
          <w:sz w:val="24"/>
          <w:szCs w:val="24"/>
        </w:rPr>
        <w:t xml:space="preserve"> Anticorps monoclonal murin humanisé de classe IgG1dirigé contre le récepteur (membranaire ou soluble) de l’IL-6</w:t>
      </w:r>
    </w:p>
    <w:p w:rsidR="00634217" w:rsidRPr="00A67C90" w:rsidRDefault="00634217" w:rsidP="00634217">
      <w:pPr>
        <w:spacing w:after="0" w:line="276" w:lineRule="auto"/>
        <w:rPr>
          <w:rFonts w:cs="Calibri"/>
          <w:b/>
          <w:bCs/>
          <w:color w:val="000000" w:themeColor="text1"/>
          <w:sz w:val="24"/>
          <w:szCs w:val="24"/>
        </w:rPr>
      </w:pPr>
      <w:r w:rsidRPr="00A67C90">
        <w:rPr>
          <w:rFonts w:cs="Calibri"/>
          <w:b/>
          <w:bCs/>
          <w:color w:val="000000" w:themeColor="text1"/>
          <w:sz w:val="24"/>
          <w:szCs w:val="24"/>
        </w:rPr>
        <w:t>Présentation et mode d'administration :</w:t>
      </w:r>
    </w:p>
    <w:p w:rsidR="00634217" w:rsidRPr="00675DA5" w:rsidRDefault="00634217" w:rsidP="00CE19DF">
      <w:pPr>
        <w:pStyle w:val="Paragraphedeliste"/>
        <w:numPr>
          <w:ilvl w:val="0"/>
          <w:numId w:val="12"/>
        </w:numPr>
        <w:spacing w:after="0" w:line="276" w:lineRule="auto"/>
        <w:jc w:val="both"/>
        <w:rPr>
          <w:rFonts w:cs="Calibri"/>
          <w:sz w:val="24"/>
          <w:szCs w:val="24"/>
        </w:rPr>
      </w:pPr>
      <w:r w:rsidRPr="00675DA5">
        <w:rPr>
          <w:rFonts w:cs="Calibri"/>
          <w:sz w:val="24"/>
          <w:szCs w:val="24"/>
        </w:rPr>
        <w:t>8mg/kg en perfusion lente toutes les 4 semaines, associé au MTX</w:t>
      </w:r>
    </w:p>
    <w:p w:rsidR="00634217" w:rsidRPr="00675DA5" w:rsidRDefault="00634217" w:rsidP="00CE19DF">
      <w:pPr>
        <w:pStyle w:val="Paragraphedeliste"/>
        <w:numPr>
          <w:ilvl w:val="0"/>
          <w:numId w:val="12"/>
        </w:numPr>
        <w:spacing w:after="0" w:line="276" w:lineRule="auto"/>
        <w:jc w:val="both"/>
        <w:rPr>
          <w:rFonts w:cs="Calibri"/>
          <w:sz w:val="24"/>
          <w:szCs w:val="24"/>
        </w:rPr>
      </w:pPr>
      <w:r w:rsidRPr="00675DA5">
        <w:rPr>
          <w:rFonts w:cs="Calibri"/>
          <w:sz w:val="24"/>
          <w:szCs w:val="24"/>
        </w:rPr>
        <w:t>Dose minimale = 480mg, dose maximale = 1,2g</w:t>
      </w:r>
    </w:p>
    <w:p w:rsidR="00634217" w:rsidRPr="00A67C90" w:rsidRDefault="00634217" w:rsidP="00634217">
      <w:pPr>
        <w:spacing w:after="0" w:line="276" w:lineRule="auto"/>
        <w:rPr>
          <w:rFonts w:cs="Calibri"/>
          <w:b/>
          <w:bCs/>
          <w:color w:val="000000" w:themeColor="text1"/>
          <w:sz w:val="24"/>
          <w:szCs w:val="24"/>
        </w:rPr>
      </w:pPr>
      <w:r w:rsidRPr="00A67C90">
        <w:rPr>
          <w:rFonts w:cs="Calibri"/>
          <w:b/>
          <w:bCs/>
          <w:color w:val="000000" w:themeColor="text1"/>
          <w:sz w:val="24"/>
          <w:szCs w:val="24"/>
        </w:rPr>
        <w:t>Contre-indications :</w:t>
      </w:r>
    </w:p>
    <w:p w:rsidR="00634217" w:rsidRPr="00675DA5" w:rsidRDefault="00634217" w:rsidP="00634217">
      <w:pPr>
        <w:spacing w:after="0"/>
        <w:jc w:val="both"/>
        <w:rPr>
          <w:rFonts w:cs="Calibri"/>
          <w:sz w:val="24"/>
          <w:szCs w:val="24"/>
        </w:rPr>
      </w:pPr>
      <w:r w:rsidRPr="00675DA5">
        <w:rPr>
          <w:rFonts w:cs="Calibri"/>
          <w:sz w:val="24"/>
          <w:szCs w:val="24"/>
        </w:rPr>
        <w:t xml:space="preserve">-Hypersensibilité au </w:t>
      </w:r>
      <w:proofErr w:type="spellStart"/>
      <w:r w:rsidRPr="00675DA5">
        <w:rPr>
          <w:rFonts w:cs="Calibri"/>
          <w:sz w:val="24"/>
          <w:szCs w:val="24"/>
        </w:rPr>
        <w:t>tocilizumab</w:t>
      </w:r>
      <w:proofErr w:type="spellEnd"/>
      <w:r w:rsidRPr="00675DA5">
        <w:rPr>
          <w:rFonts w:cs="Calibri"/>
          <w:sz w:val="24"/>
          <w:szCs w:val="24"/>
        </w:rPr>
        <w:t xml:space="preserve"> ou à l’un de ses excipients.</w:t>
      </w:r>
    </w:p>
    <w:p w:rsidR="00634217" w:rsidRPr="00675DA5" w:rsidRDefault="00634217" w:rsidP="00634217">
      <w:pPr>
        <w:spacing w:after="0"/>
        <w:jc w:val="both"/>
        <w:rPr>
          <w:rFonts w:cs="Calibri"/>
          <w:sz w:val="24"/>
          <w:szCs w:val="24"/>
        </w:rPr>
      </w:pPr>
      <w:r w:rsidRPr="00675DA5">
        <w:rPr>
          <w:rFonts w:cs="Calibri"/>
          <w:sz w:val="24"/>
          <w:szCs w:val="24"/>
        </w:rPr>
        <w:t>-Infection sévère non contrôlée (</w:t>
      </w:r>
      <w:proofErr w:type="spellStart"/>
      <w:r w:rsidRPr="00675DA5">
        <w:rPr>
          <w:rFonts w:cs="Calibri"/>
          <w:sz w:val="24"/>
          <w:szCs w:val="24"/>
        </w:rPr>
        <w:t>sepsis</w:t>
      </w:r>
      <w:proofErr w:type="spellEnd"/>
      <w:r w:rsidRPr="00675DA5">
        <w:rPr>
          <w:rFonts w:cs="Calibri"/>
          <w:sz w:val="24"/>
          <w:szCs w:val="24"/>
        </w:rPr>
        <w:t xml:space="preserve"> ou infection opportuniste)</w:t>
      </w:r>
    </w:p>
    <w:p w:rsidR="00634217" w:rsidRPr="00675DA5" w:rsidRDefault="00634217" w:rsidP="00634217">
      <w:pPr>
        <w:spacing w:after="0"/>
        <w:jc w:val="both"/>
        <w:rPr>
          <w:rFonts w:cs="Calibri"/>
          <w:sz w:val="24"/>
          <w:szCs w:val="24"/>
        </w:rPr>
      </w:pPr>
      <w:r w:rsidRPr="00675DA5">
        <w:rPr>
          <w:rFonts w:cs="Calibri"/>
          <w:sz w:val="24"/>
          <w:szCs w:val="24"/>
        </w:rPr>
        <w:t>-Insuffisance rénale, hépatique</w:t>
      </w:r>
    </w:p>
    <w:p w:rsidR="00634217" w:rsidRPr="00675DA5" w:rsidRDefault="00634217" w:rsidP="00634217">
      <w:pPr>
        <w:spacing w:after="0"/>
        <w:jc w:val="both"/>
        <w:rPr>
          <w:rFonts w:cs="Calibri"/>
          <w:sz w:val="24"/>
          <w:szCs w:val="24"/>
        </w:rPr>
      </w:pPr>
      <w:r w:rsidRPr="00675DA5">
        <w:rPr>
          <w:rFonts w:cs="Calibri"/>
          <w:sz w:val="24"/>
          <w:szCs w:val="24"/>
        </w:rPr>
        <w:t>-Grossesse, allaitement</w:t>
      </w:r>
    </w:p>
    <w:p w:rsidR="00634217" w:rsidRPr="00675DA5" w:rsidRDefault="00634217" w:rsidP="00634217">
      <w:pPr>
        <w:spacing w:after="0"/>
        <w:jc w:val="both"/>
        <w:rPr>
          <w:rFonts w:cs="Calibri"/>
          <w:b/>
          <w:bCs/>
          <w:sz w:val="24"/>
          <w:szCs w:val="24"/>
        </w:rPr>
      </w:pPr>
      <w:r w:rsidRPr="00675DA5">
        <w:rPr>
          <w:rFonts w:cs="Calibri"/>
          <w:b/>
          <w:bCs/>
          <w:sz w:val="24"/>
          <w:szCs w:val="24"/>
        </w:rPr>
        <w:sym w:font="Wingdings" w:char="F0E0"/>
      </w:r>
      <w:r w:rsidRPr="00675DA5">
        <w:rPr>
          <w:rFonts w:cs="Calibri"/>
          <w:b/>
          <w:bCs/>
          <w:sz w:val="24"/>
          <w:szCs w:val="24"/>
        </w:rPr>
        <w:t xml:space="preserve"> Précautions d’emploi :</w:t>
      </w:r>
    </w:p>
    <w:p w:rsidR="00634217" w:rsidRPr="00675DA5" w:rsidRDefault="00634217" w:rsidP="00CE19DF">
      <w:pPr>
        <w:pStyle w:val="Paragraphedeliste"/>
        <w:numPr>
          <w:ilvl w:val="0"/>
          <w:numId w:val="7"/>
        </w:numPr>
        <w:spacing w:after="0" w:line="276" w:lineRule="auto"/>
        <w:jc w:val="both"/>
        <w:rPr>
          <w:rFonts w:cs="Calibri"/>
          <w:sz w:val="24"/>
          <w:szCs w:val="24"/>
        </w:rPr>
      </w:pPr>
      <w:r w:rsidRPr="00675DA5">
        <w:rPr>
          <w:rFonts w:cs="Calibri"/>
          <w:sz w:val="24"/>
          <w:szCs w:val="24"/>
        </w:rPr>
        <w:t>Maladie hépatique active</w:t>
      </w:r>
    </w:p>
    <w:p w:rsidR="00634217" w:rsidRPr="00675DA5" w:rsidRDefault="00634217" w:rsidP="00CE19DF">
      <w:pPr>
        <w:pStyle w:val="Paragraphedeliste"/>
        <w:numPr>
          <w:ilvl w:val="0"/>
          <w:numId w:val="7"/>
        </w:numPr>
        <w:spacing w:after="0" w:line="276" w:lineRule="auto"/>
        <w:jc w:val="both"/>
        <w:rPr>
          <w:rFonts w:cs="Calibri"/>
          <w:sz w:val="24"/>
          <w:szCs w:val="24"/>
        </w:rPr>
      </w:pPr>
      <w:r w:rsidRPr="00675DA5">
        <w:rPr>
          <w:rFonts w:cs="Calibri"/>
          <w:sz w:val="24"/>
          <w:szCs w:val="24"/>
        </w:rPr>
        <w:t>Neutropénie, thrombopénie</w:t>
      </w:r>
    </w:p>
    <w:p w:rsidR="00634217" w:rsidRPr="00675DA5" w:rsidRDefault="00634217" w:rsidP="00CE19DF">
      <w:pPr>
        <w:pStyle w:val="Paragraphedeliste"/>
        <w:numPr>
          <w:ilvl w:val="0"/>
          <w:numId w:val="7"/>
        </w:numPr>
        <w:spacing w:after="0" w:line="276" w:lineRule="auto"/>
        <w:jc w:val="both"/>
        <w:rPr>
          <w:rFonts w:cs="Calibri"/>
          <w:sz w:val="24"/>
          <w:szCs w:val="24"/>
        </w:rPr>
      </w:pPr>
      <w:r w:rsidRPr="00675DA5">
        <w:rPr>
          <w:rFonts w:cs="Calibri"/>
          <w:sz w:val="24"/>
          <w:szCs w:val="24"/>
        </w:rPr>
        <w:t>Dyslipidémies</w:t>
      </w:r>
    </w:p>
    <w:p w:rsidR="00634217" w:rsidRPr="00675DA5" w:rsidRDefault="00634217" w:rsidP="00CE19DF">
      <w:pPr>
        <w:pStyle w:val="Paragraphedeliste"/>
        <w:numPr>
          <w:ilvl w:val="0"/>
          <w:numId w:val="7"/>
        </w:numPr>
        <w:spacing w:after="0" w:line="276" w:lineRule="auto"/>
        <w:jc w:val="both"/>
        <w:rPr>
          <w:rFonts w:cs="Calibri"/>
          <w:sz w:val="24"/>
          <w:szCs w:val="24"/>
        </w:rPr>
      </w:pPr>
      <w:r w:rsidRPr="00675DA5">
        <w:rPr>
          <w:rFonts w:cs="Calibri"/>
          <w:sz w:val="24"/>
          <w:szCs w:val="24"/>
        </w:rPr>
        <w:t>ATCDS de maladie cardio-vasculaire</w:t>
      </w:r>
    </w:p>
    <w:p w:rsidR="00634217" w:rsidRPr="00675DA5" w:rsidRDefault="00634217" w:rsidP="00CE19DF">
      <w:pPr>
        <w:pStyle w:val="Paragraphedeliste"/>
        <w:numPr>
          <w:ilvl w:val="0"/>
          <w:numId w:val="7"/>
        </w:numPr>
        <w:spacing w:after="0" w:line="276" w:lineRule="auto"/>
        <w:jc w:val="both"/>
        <w:rPr>
          <w:rFonts w:cs="Calibri"/>
          <w:sz w:val="24"/>
          <w:szCs w:val="24"/>
        </w:rPr>
      </w:pPr>
      <w:r w:rsidRPr="00675DA5">
        <w:rPr>
          <w:rFonts w:cs="Calibri"/>
          <w:sz w:val="24"/>
          <w:szCs w:val="24"/>
        </w:rPr>
        <w:t xml:space="preserve">Maladie </w:t>
      </w:r>
      <w:proofErr w:type="spellStart"/>
      <w:r w:rsidRPr="00675DA5">
        <w:rPr>
          <w:rFonts w:cs="Calibri"/>
          <w:sz w:val="24"/>
          <w:szCs w:val="24"/>
        </w:rPr>
        <w:t>démyélinisante</w:t>
      </w:r>
      <w:proofErr w:type="spellEnd"/>
    </w:p>
    <w:p w:rsidR="00634217" w:rsidRPr="00675DA5" w:rsidRDefault="00634217" w:rsidP="00CE19DF">
      <w:pPr>
        <w:pStyle w:val="Paragraphedeliste"/>
        <w:numPr>
          <w:ilvl w:val="0"/>
          <w:numId w:val="7"/>
        </w:numPr>
        <w:spacing w:after="0" w:line="276" w:lineRule="auto"/>
        <w:jc w:val="both"/>
        <w:rPr>
          <w:rFonts w:cs="Calibri"/>
          <w:b/>
          <w:bCs/>
          <w:sz w:val="24"/>
          <w:szCs w:val="24"/>
        </w:rPr>
      </w:pPr>
      <w:r w:rsidRPr="00675DA5">
        <w:rPr>
          <w:rFonts w:cs="Calibri"/>
          <w:sz w:val="24"/>
          <w:szCs w:val="24"/>
        </w:rPr>
        <w:t>Néoplasie survenue dans les 5 dernières années, autre qu’une tumeur cutanée ayant subi une exérèse</w:t>
      </w:r>
    </w:p>
    <w:p w:rsidR="00634217" w:rsidRPr="00A67C90" w:rsidRDefault="00634217" w:rsidP="00634217">
      <w:pPr>
        <w:spacing w:after="0" w:line="276" w:lineRule="auto"/>
        <w:rPr>
          <w:rFonts w:cs="Calibri"/>
          <w:b/>
          <w:bCs/>
          <w:color w:val="000000" w:themeColor="text1"/>
          <w:sz w:val="24"/>
          <w:szCs w:val="24"/>
        </w:rPr>
      </w:pPr>
      <w:r w:rsidRPr="00A67C90">
        <w:rPr>
          <w:rFonts w:cs="Calibri"/>
          <w:b/>
          <w:bCs/>
          <w:color w:val="000000" w:themeColor="text1"/>
          <w:sz w:val="24"/>
          <w:szCs w:val="24"/>
        </w:rPr>
        <w:t>Bilan pré-thérapeutique :</w:t>
      </w:r>
    </w:p>
    <w:p w:rsidR="00634217" w:rsidRPr="00675DA5" w:rsidRDefault="00634217" w:rsidP="00CE19DF">
      <w:pPr>
        <w:pStyle w:val="Paragraphedeliste"/>
        <w:numPr>
          <w:ilvl w:val="0"/>
          <w:numId w:val="12"/>
        </w:numPr>
        <w:spacing w:after="0" w:line="276" w:lineRule="auto"/>
        <w:ind w:left="360"/>
        <w:jc w:val="both"/>
        <w:rPr>
          <w:rFonts w:cs="Calibri"/>
          <w:sz w:val="24"/>
          <w:szCs w:val="24"/>
        </w:rPr>
      </w:pPr>
      <w:r w:rsidRPr="00675DA5">
        <w:rPr>
          <w:rFonts w:cs="Calibri"/>
          <w:sz w:val="24"/>
          <w:szCs w:val="24"/>
        </w:rPr>
        <w:t xml:space="preserve">Interrogatoire : notion de néoplasie, infection sévère chronique et /ou récurrente, contact tuberculeux, </w:t>
      </w:r>
      <w:proofErr w:type="spellStart"/>
      <w:r w:rsidRPr="00675DA5">
        <w:rPr>
          <w:rFonts w:cs="Calibri"/>
          <w:sz w:val="24"/>
          <w:szCs w:val="24"/>
        </w:rPr>
        <w:t>diverticulite</w:t>
      </w:r>
      <w:proofErr w:type="spellEnd"/>
    </w:p>
    <w:p w:rsidR="00634217" w:rsidRPr="00675DA5" w:rsidRDefault="00634217" w:rsidP="00CE19DF">
      <w:pPr>
        <w:pStyle w:val="Paragraphedeliste"/>
        <w:numPr>
          <w:ilvl w:val="0"/>
          <w:numId w:val="12"/>
        </w:numPr>
        <w:spacing w:after="0" w:line="276" w:lineRule="auto"/>
        <w:ind w:left="360"/>
        <w:jc w:val="both"/>
        <w:rPr>
          <w:rFonts w:cs="Calibri"/>
          <w:sz w:val="24"/>
          <w:szCs w:val="24"/>
        </w:rPr>
      </w:pPr>
      <w:r w:rsidRPr="00675DA5">
        <w:rPr>
          <w:rFonts w:cs="Calibri"/>
          <w:sz w:val="24"/>
          <w:szCs w:val="24"/>
        </w:rPr>
        <w:t>Examen clinique : fièvre, ADP, infection, signes évoquant une affection maligne, HTA, douleurs abdominales</w:t>
      </w:r>
    </w:p>
    <w:p w:rsidR="00634217" w:rsidRPr="00675DA5" w:rsidRDefault="00634217" w:rsidP="00CE19DF">
      <w:pPr>
        <w:pStyle w:val="Paragraphedeliste"/>
        <w:numPr>
          <w:ilvl w:val="0"/>
          <w:numId w:val="12"/>
        </w:numPr>
        <w:spacing w:after="0" w:line="276" w:lineRule="auto"/>
        <w:ind w:left="360"/>
        <w:jc w:val="both"/>
        <w:rPr>
          <w:rFonts w:cs="Calibri"/>
          <w:sz w:val="24"/>
          <w:szCs w:val="24"/>
        </w:rPr>
      </w:pPr>
      <w:proofErr w:type="spellStart"/>
      <w:r w:rsidRPr="00675DA5">
        <w:rPr>
          <w:rFonts w:cs="Calibri"/>
          <w:sz w:val="24"/>
          <w:szCs w:val="24"/>
        </w:rPr>
        <w:t>Paraclinique</w:t>
      </w:r>
      <w:proofErr w:type="spellEnd"/>
      <w:r w:rsidRPr="00675DA5">
        <w:rPr>
          <w:rFonts w:cs="Calibri"/>
          <w:sz w:val="24"/>
          <w:szCs w:val="24"/>
        </w:rPr>
        <w:t> : hémogramme, transaminases, bilan lipidique détaillé, EPPS</w:t>
      </w:r>
      <w:proofErr w:type="gramStart"/>
      <w:r w:rsidRPr="00675DA5">
        <w:rPr>
          <w:rFonts w:cs="Calibri"/>
          <w:sz w:val="24"/>
          <w:szCs w:val="24"/>
        </w:rPr>
        <w:t>,IDR</w:t>
      </w:r>
      <w:proofErr w:type="gramEnd"/>
      <w:r w:rsidRPr="00675DA5">
        <w:rPr>
          <w:rFonts w:cs="Calibri"/>
          <w:sz w:val="24"/>
          <w:szCs w:val="24"/>
        </w:rPr>
        <w:t xml:space="preserve"> à la tuberculine, ou test au </w:t>
      </w:r>
      <w:proofErr w:type="spellStart"/>
      <w:r w:rsidRPr="00675DA5">
        <w:rPr>
          <w:rFonts w:cs="Calibri"/>
          <w:sz w:val="24"/>
          <w:szCs w:val="24"/>
        </w:rPr>
        <w:t>Quantiferon</w:t>
      </w:r>
      <w:proofErr w:type="spellEnd"/>
      <w:r w:rsidRPr="00675DA5">
        <w:rPr>
          <w:rFonts w:cs="Calibri"/>
          <w:sz w:val="24"/>
          <w:szCs w:val="24"/>
        </w:rPr>
        <w:t xml:space="preserve">, </w:t>
      </w:r>
      <w:proofErr w:type="spellStart"/>
      <w:r w:rsidRPr="00675DA5">
        <w:rPr>
          <w:rFonts w:cs="Calibri"/>
          <w:sz w:val="24"/>
          <w:szCs w:val="24"/>
        </w:rPr>
        <w:t>serologies</w:t>
      </w:r>
      <w:proofErr w:type="spellEnd"/>
      <w:r w:rsidRPr="00675DA5">
        <w:rPr>
          <w:rFonts w:cs="Calibri"/>
          <w:sz w:val="24"/>
          <w:szCs w:val="24"/>
        </w:rPr>
        <w:t xml:space="preserve"> des hépatites B,C, HIV, dosage pondéral des </w:t>
      </w:r>
      <w:proofErr w:type="spellStart"/>
      <w:r w:rsidRPr="00675DA5">
        <w:rPr>
          <w:rFonts w:cs="Calibri"/>
          <w:sz w:val="24"/>
          <w:szCs w:val="24"/>
        </w:rPr>
        <w:t>Ig</w:t>
      </w:r>
      <w:proofErr w:type="spellEnd"/>
      <w:r w:rsidRPr="00675DA5">
        <w:rPr>
          <w:rFonts w:cs="Calibri"/>
          <w:sz w:val="24"/>
          <w:szCs w:val="24"/>
        </w:rPr>
        <w:t xml:space="preserve"> (patients traités par </w:t>
      </w:r>
      <w:proofErr w:type="spellStart"/>
      <w:r w:rsidRPr="00675DA5">
        <w:rPr>
          <w:rFonts w:cs="Calibri"/>
          <w:sz w:val="24"/>
          <w:szCs w:val="24"/>
        </w:rPr>
        <w:t>rituximab</w:t>
      </w:r>
      <w:proofErr w:type="spellEnd"/>
      <w:r w:rsidRPr="00675DA5">
        <w:rPr>
          <w:rFonts w:cs="Calibri"/>
          <w:sz w:val="24"/>
          <w:szCs w:val="24"/>
        </w:rPr>
        <w:t>), radiographie thoracique</w:t>
      </w:r>
    </w:p>
    <w:p w:rsidR="00634217" w:rsidRPr="00A67C90" w:rsidRDefault="00634217" w:rsidP="00562AE0">
      <w:pPr>
        <w:spacing w:after="0" w:line="276" w:lineRule="auto"/>
        <w:rPr>
          <w:rFonts w:cs="Calibri"/>
          <w:b/>
          <w:bCs/>
          <w:color w:val="000000" w:themeColor="text1"/>
          <w:sz w:val="24"/>
          <w:szCs w:val="24"/>
        </w:rPr>
      </w:pPr>
      <w:r w:rsidRPr="00A67C90">
        <w:rPr>
          <w:rFonts w:cs="Calibri"/>
          <w:b/>
          <w:bCs/>
          <w:color w:val="000000" w:themeColor="text1"/>
          <w:sz w:val="24"/>
          <w:szCs w:val="24"/>
        </w:rPr>
        <w:t>Effets indésirables :</w:t>
      </w:r>
    </w:p>
    <w:p w:rsidR="00562AE0" w:rsidRDefault="00634217" w:rsidP="00634217">
      <w:pPr>
        <w:spacing w:after="0"/>
        <w:jc w:val="both"/>
        <w:rPr>
          <w:rFonts w:cs="Calibri"/>
          <w:sz w:val="24"/>
          <w:szCs w:val="24"/>
        </w:rPr>
      </w:pPr>
      <w:r w:rsidRPr="00675DA5">
        <w:rPr>
          <w:rFonts w:cs="Calibri"/>
          <w:sz w:val="24"/>
          <w:szCs w:val="24"/>
        </w:rPr>
        <w:t xml:space="preserve">Infections, anomalies hématologiques : neutropénie, thrombopénie, </w:t>
      </w:r>
    </w:p>
    <w:p w:rsidR="00634217" w:rsidRPr="00675DA5" w:rsidRDefault="00562AE0" w:rsidP="00634217">
      <w:pPr>
        <w:spacing w:after="0"/>
        <w:jc w:val="both"/>
        <w:rPr>
          <w:rFonts w:cs="Calibri"/>
          <w:sz w:val="24"/>
          <w:szCs w:val="24"/>
        </w:rPr>
      </w:pPr>
      <w:r>
        <w:rPr>
          <w:rFonts w:cs="Calibri"/>
          <w:sz w:val="24"/>
          <w:szCs w:val="24"/>
        </w:rPr>
        <w:t>Augmentation des transaminases, a</w:t>
      </w:r>
      <w:r>
        <w:rPr>
          <w:rFonts w:cs="Calibri"/>
          <w:sz w:val="24"/>
          <w:szCs w:val="24"/>
        </w:rPr>
        <w:tab/>
      </w:r>
      <w:proofErr w:type="spellStart"/>
      <w:r>
        <w:rPr>
          <w:rFonts w:cs="Calibri"/>
          <w:sz w:val="24"/>
          <w:szCs w:val="24"/>
        </w:rPr>
        <w:t>ugmentation</w:t>
      </w:r>
      <w:proofErr w:type="spellEnd"/>
      <w:r>
        <w:rPr>
          <w:rFonts w:cs="Calibri"/>
          <w:sz w:val="24"/>
          <w:szCs w:val="24"/>
        </w:rPr>
        <w:t xml:space="preserve"> du </w:t>
      </w:r>
      <w:r w:rsidR="00634217" w:rsidRPr="00675DA5">
        <w:rPr>
          <w:rFonts w:cs="Calibri"/>
          <w:sz w:val="24"/>
          <w:szCs w:val="24"/>
        </w:rPr>
        <w:t>cholestérol total, troubles gastro-intestinaux, troubles cutanés, réaction aux points d’injection</w:t>
      </w:r>
    </w:p>
    <w:p w:rsidR="00A67C90" w:rsidRDefault="00A67C90" w:rsidP="00634217">
      <w:pPr>
        <w:spacing w:after="0" w:line="276" w:lineRule="auto"/>
        <w:rPr>
          <w:rFonts w:cs="Calibri"/>
          <w:b/>
          <w:bCs/>
          <w:color w:val="7030A0"/>
          <w:sz w:val="24"/>
          <w:szCs w:val="24"/>
        </w:rPr>
      </w:pPr>
    </w:p>
    <w:p w:rsidR="00634217" w:rsidRPr="00A67C90" w:rsidRDefault="00634217" w:rsidP="00634217">
      <w:pPr>
        <w:spacing w:after="0" w:line="276" w:lineRule="auto"/>
        <w:rPr>
          <w:rFonts w:cs="Calibri"/>
          <w:b/>
          <w:bCs/>
          <w:color w:val="000000" w:themeColor="text1"/>
          <w:sz w:val="24"/>
          <w:szCs w:val="24"/>
        </w:rPr>
      </w:pPr>
      <w:r w:rsidRPr="00A67C90">
        <w:rPr>
          <w:rFonts w:cs="Calibri"/>
          <w:b/>
          <w:bCs/>
          <w:color w:val="000000" w:themeColor="text1"/>
          <w:sz w:val="24"/>
          <w:szCs w:val="24"/>
        </w:rPr>
        <w:t>Suivi :</w:t>
      </w:r>
    </w:p>
    <w:p w:rsidR="00634217" w:rsidRPr="00675DA5" w:rsidRDefault="00634217" w:rsidP="00CE19DF">
      <w:pPr>
        <w:numPr>
          <w:ilvl w:val="0"/>
          <w:numId w:val="22"/>
        </w:numPr>
        <w:spacing w:after="0" w:line="276" w:lineRule="auto"/>
        <w:jc w:val="both"/>
        <w:rPr>
          <w:rFonts w:cs="Calibri"/>
          <w:b/>
          <w:bCs/>
          <w:sz w:val="24"/>
          <w:szCs w:val="24"/>
        </w:rPr>
      </w:pPr>
      <w:r w:rsidRPr="00675DA5">
        <w:rPr>
          <w:rFonts w:cs="Calibri"/>
          <w:b/>
          <w:bCs/>
          <w:sz w:val="24"/>
          <w:szCs w:val="24"/>
        </w:rPr>
        <w:t>Evaluer l’efficacité :</w:t>
      </w:r>
    </w:p>
    <w:p w:rsidR="00634217" w:rsidRPr="00675DA5" w:rsidRDefault="00634217" w:rsidP="00CE19DF">
      <w:pPr>
        <w:numPr>
          <w:ilvl w:val="0"/>
          <w:numId w:val="23"/>
        </w:numPr>
        <w:spacing w:after="0" w:line="276" w:lineRule="auto"/>
        <w:jc w:val="both"/>
        <w:rPr>
          <w:rFonts w:cs="Calibri"/>
          <w:sz w:val="24"/>
          <w:szCs w:val="24"/>
        </w:rPr>
      </w:pPr>
      <w:r w:rsidRPr="00675DA5">
        <w:rPr>
          <w:rFonts w:cs="Calibri"/>
          <w:sz w:val="24"/>
          <w:szCs w:val="24"/>
        </w:rPr>
        <w:t>biologie : VS, CRP tous les 3 mois</w:t>
      </w:r>
    </w:p>
    <w:p w:rsidR="00634217" w:rsidRPr="00675DA5" w:rsidRDefault="00634217" w:rsidP="00CE19DF">
      <w:pPr>
        <w:numPr>
          <w:ilvl w:val="0"/>
          <w:numId w:val="23"/>
        </w:numPr>
        <w:spacing w:after="0" w:line="276" w:lineRule="auto"/>
        <w:jc w:val="both"/>
        <w:rPr>
          <w:rFonts w:cs="Calibri"/>
          <w:sz w:val="24"/>
          <w:szCs w:val="24"/>
        </w:rPr>
      </w:pPr>
      <w:r w:rsidRPr="00675DA5">
        <w:rPr>
          <w:rFonts w:cs="Calibri"/>
          <w:sz w:val="24"/>
          <w:szCs w:val="24"/>
        </w:rPr>
        <w:t>radiographie : mains, poignets, avant-pieds (1 /an)</w:t>
      </w:r>
    </w:p>
    <w:p w:rsidR="00634217" w:rsidRPr="00675DA5" w:rsidRDefault="00542678" w:rsidP="00CE19DF">
      <w:pPr>
        <w:numPr>
          <w:ilvl w:val="0"/>
          <w:numId w:val="22"/>
        </w:numPr>
        <w:spacing w:after="0" w:line="276" w:lineRule="auto"/>
        <w:jc w:val="both"/>
        <w:rPr>
          <w:rFonts w:cs="Calibri"/>
          <w:sz w:val="24"/>
          <w:szCs w:val="24"/>
        </w:rPr>
      </w:pPr>
      <w:r>
        <w:rPr>
          <w:rFonts w:cs="Calibri"/>
          <w:b/>
          <w:bCs/>
          <w:sz w:val="24"/>
          <w:szCs w:val="24"/>
        </w:rPr>
        <w:lastRenderedPageBreak/>
        <w:t>S</w:t>
      </w:r>
      <w:r w:rsidR="00634217" w:rsidRPr="00675DA5">
        <w:rPr>
          <w:rFonts w:cs="Calibri"/>
          <w:b/>
          <w:bCs/>
          <w:sz w:val="24"/>
          <w:szCs w:val="24"/>
        </w:rPr>
        <w:t>urveillance de la fonction hépatique</w:t>
      </w:r>
      <w:r w:rsidR="00634217" w:rsidRPr="00675DA5">
        <w:rPr>
          <w:rFonts w:cs="Calibri"/>
          <w:sz w:val="24"/>
          <w:szCs w:val="24"/>
        </w:rPr>
        <w:t> :   Dosage toutes les 4 à 8 semaines pendant les 6 1</w:t>
      </w:r>
      <w:r w:rsidR="00634217" w:rsidRPr="00675DA5">
        <w:rPr>
          <w:rFonts w:cs="Calibri"/>
          <w:sz w:val="24"/>
          <w:szCs w:val="24"/>
          <w:vertAlign w:val="superscript"/>
        </w:rPr>
        <w:t>ers</w:t>
      </w:r>
      <w:r w:rsidR="00634217" w:rsidRPr="00675DA5">
        <w:rPr>
          <w:rFonts w:cs="Calibri"/>
          <w:sz w:val="24"/>
          <w:szCs w:val="24"/>
        </w:rPr>
        <w:t xml:space="preserve"> mois puis /12 semaines.</w:t>
      </w:r>
    </w:p>
    <w:p w:rsidR="00634217" w:rsidRPr="00675DA5" w:rsidRDefault="00634217" w:rsidP="00634217">
      <w:pPr>
        <w:spacing w:after="0"/>
        <w:ind w:left="720"/>
        <w:jc w:val="both"/>
        <w:rPr>
          <w:rFonts w:cs="Calibri"/>
          <w:sz w:val="24"/>
          <w:szCs w:val="24"/>
        </w:rPr>
      </w:pPr>
      <w:r w:rsidRPr="00675DA5">
        <w:rPr>
          <w:rFonts w:cs="Calibri"/>
          <w:sz w:val="24"/>
          <w:szCs w:val="24"/>
        </w:rPr>
        <w:t>Précaution si taux entre 1,5 et 5 x LSN, non recommandé si taux &gt; 5 x LSN.</w:t>
      </w:r>
    </w:p>
    <w:p w:rsidR="00634217" w:rsidRPr="00675DA5" w:rsidRDefault="00634217" w:rsidP="00634217">
      <w:pPr>
        <w:spacing w:after="0"/>
        <w:ind w:left="720"/>
        <w:jc w:val="both"/>
        <w:rPr>
          <w:rFonts w:cs="Calibri"/>
          <w:sz w:val="24"/>
          <w:szCs w:val="24"/>
        </w:rPr>
      </w:pPr>
      <w:r w:rsidRPr="00675DA5">
        <w:rPr>
          <w:rFonts w:cs="Calibri"/>
          <w:sz w:val="24"/>
          <w:szCs w:val="24"/>
        </w:rPr>
        <w:t>Adaptations posologique selon la valeur des transaminases :</w:t>
      </w:r>
    </w:p>
    <w:p w:rsidR="00634217" w:rsidRPr="00675DA5" w:rsidRDefault="00634217" w:rsidP="00CE19DF">
      <w:pPr>
        <w:numPr>
          <w:ilvl w:val="0"/>
          <w:numId w:val="24"/>
        </w:numPr>
        <w:spacing w:after="0" w:line="276" w:lineRule="auto"/>
        <w:jc w:val="both"/>
        <w:rPr>
          <w:rFonts w:cs="Calibri"/>
          <w:sz w:val="24"/>
          <w:szCs w:val="24"/>
        </w:rPr>
      </w:pPr>
      <w:r w:rsidRPr="00675DA5">
        <w:rPr>
          <w:rFonts w:cs="Calibri"/>
          <w:sz w:val="24"/>
          <w:szCs w:val="24"/>
        </w:rPr>
        <w:t xml:space="preserve">si entre 1-3 x LSN: modifier la dose du MTX, si l’anomalie persiste=&gt;réduire la dose de </w:t>
      </w:r>
      <w:proofErr w:type="spellStart"/>
      <w:r w:rsidRPr="00675DA5">
        <w:rPr>
          <w:rFonts w:cs="Calibri"/>
          <w:sz w:val="24"/>
          <w:szCs w:val="24"/>
        </w:rPr>
        <w:t>tocilizumab</w:t>
      </w:r>
      <w:proofErr w:type="spellEnd"/>
      <w:r w:rsidRPr="00675DA5">
        <w:rPr>
          <w:rFonts w:cs="Calibri"/>
          <w:sz w:val="24"/>
          <w:szCs w:val="24"/>
        </w:rPr>
        <w:t xml:space="preserve"> à4mg /kg ou le suspendre jusqu’à normalisation, puis reprendre à 4mg ou 8 mg selon l’état clinique.</w:t>
      </w:r>
    </w:p>
    <w:p w:rsidR="00634217" w:rsidRPr="00675DA5" w:rsidRDefault="00634217" w:rsidP="00CE19DF">
      <w:pPr>
        <w:numPr>
          <w:ilvl w:val="0"/>
          <w:numId w:val="24"/>
        </w:numPr>
        <w:spacing w:after="0" w:line="276" w:lineRule="auto"/>
        <w:jc w:val="both"/>
        <w:rPr>
          <w:rFonts w:cs="Calibri"/>
          <w:sz w:val="24"/>
          <w:szCs w:val="24"/>
        </w:rPr>
      </w:pPr>
      <w:r w:rsidRPr="00675DA5">
        <w:rPr>
          <w:rFonts w:cs="Calibri"/>
          <w:sz w:val="24"/>
          <w:szCs w:val="24"/>
        </w:rPr>
        <w:t xml:space="preserve">Si entre 3-5 x LSN: interrompre le </w:t>
      </w:r>
      <w:proofErr w:type="spellStart"/>
      <w:r w:rsidRPr="00675DA5">
        <w:rPr>
          <w:rFonts w:cs="Calibri"/>
          <w:sz w:val="24"/>
          <w:szCs w:val="24"/>
        </w:rPr>
        <w:t>tocilizumab</w:t>
      </w:r>
      <w:proofErr w:type="spellEnd"/>
      <w:r w:rsidRPr="00675DA5">
        <w:rPr>
          <w:rFonts w:cs="Calibri"/>
          <w:sz w:val="24"/>
          <w:szCs w:val="24"/>
        </w:rPr>
        <w:t xml:space="preserve"> jusqu’à ce que ASAT ou ALAT &lt;3x LSN, </w:t>
      </w:r>
      <w:r w:rsidR="002C00DF" w:rsidRPr="00675DA5">
        <w:rPr>
          <w:rFonts w:cs="Calibri"/>
          <w:sz w:val="24"/>
          <w:szCs w:val="24"/>
        </w:rPr>
        <w:t>arrêt</w:t>
      </w:r>
      <w:r w:rsidRPr="00675DA5">
        <w:rPr>
          <w:rFonts w:cs="Calibri"/>
          <w:sz w:val="24"/>
          <w:szCs w:val="24"/>
        </w:rPr>
        <w:t xml:space="preserve"> si ↑persistante.</w:t>
      </w:r>
    </w:p>
    <w:p w:rsidR="00634217" w:rsidRPr="00675DA5" w:rsidRDefault="00634217" w:rsidP="00CE19DF">
      <w:pPr>
        <w:numPr>
          <w:ilvl w:val="0"/>
          <w:numId w:val="24"/>
        </w:numPr>
        <w:spacing w:after="0" w:line="276" w:lineRule="auto"/>
        <w:jc w:val="both"/>
        <w:rPr>
          <w:rFonts w:cs="Calibri"/>
          <w:sz w:val="24"/>
          <w:szCs w:val="24"/>
        </w:rPr>
      </w:pPr>
      <w:r w:rsidRPr="00675DA5">
        <w:rPr>
          <w:rFonts w:cs="Calibri"/>
          <w:sz w:val="24"/>
          <w:szCs w:val="24"/>
        </w:rPr>
        <w:t>Transaminases &gt;5 x LSN =&gt; arrêt</w:t>
      </w:r>
    </w:p>
    <w:p w:rsidR="00634217" w:rsidRPr="00675DA5" w:rsidRDefault="00634217" w:rsidP="00CE19DF">
      <w:pPr>
        <w:numPr>
          <w:ilvl w:val="0"/>
          <w:numId w:val="22"/>
        </w:numPr>
        <w:spacing w:after="0" w:line="276" w:lineRule="auto"/>
        <w:jc w:val="both"/>
        <w:rPr>
          <w:rFonts w:cs="Calibri"/>
          <w:sz w:val="24"/>
          <w:szCs w:val="24"/>
        </w:rPr>
      </w:pPr>
      <w:r w:rsidRPr="00675DA5">
        <w:rPr>
          <w:rFonts w:cs="Calibri"/>
          <w:b/>
          <w:bCs/>
          <w:sz w:val="24"/>
          <w:szCs w:val="24"/>
        </w:rPr>
        <w:t>Anomalies hématologiques :</w:t>
      </w:r>
      <w:r w:rsidRPr="00675DA5">
        <w:rPr>
          <w:rFonts w:cs="Calibri"/>
          <w:sz w:val="24"/>
          <w:szCs w:val="24"/>
        </w:rPr>
        <w:t xml:space="preserve"> A l’instauration du traitement</w:t>
      </w:r>
    </w:p>
    <w:p w:rsidR="00634217" w:rsidRPr="00675DA5" w:rsidRDefault="00634217" w:rsidP="00CE19DF">
      <w:pPr>
        <w:pStyle w:val="Paragraphedeliste"/>
        <w:numPr>
          <w:ilvl w:val="0"/>
          <w:numId w:val="21"/>
        </w:numPr>
        <w:spacing w:after="0" w:line="276" w:lineRule="auto"/>
        <w:jc w:val="both"/>
        <w:rPr>
          <w:rFonts w:cs="Calibri"/>
          <w:sz w:val="24"/>
          <w:szCs w:val="24"/>
        </w:rPr>
      </w:pPr>
      <w:r w:rsidRPr="00675DA5">
        <w:rPr>
          <w:rFonts w:cs="Calibri"/>
          <w:sz w:val="24"/>
          <w:szCs w:val="24"/>
        </w:rPr>
        <w:t>Neutrophiles &lt;2000/ml ou plaquettes&lt;100000/ml</w:t>
      </w:r>
      <w:r w:rsidRPr="00675DA5">
        <w:rPr>
          <w:rFonts w:cs="Calibri"/>
          <w:sz w:val="24"/>
          <w:szCs w:val="24"/>
        </w:rPr>
        <w:sym w:font="Wingdings" w:char="F0E0"/>
      </w:r>
      <w:r w:rsidRPr="00675DA5">
        <w:rPr>
          <w:rFonts w:cs="Calibri"/>
          <w:sz w:val="24"/>
          <w:szCs w:val="24"/>
        </w:rPr>
        <w:t xml:space="preserve"> instauration avec précaution</w:t>
      </w:r>
    </w:p>
    <w:p w:rsidR="00634217" w:rsidRPr="00675DA5" w:rsidRDefault="00634217" w:rsidP="00CE19DF">
      <w:pPr>
        <w:pStyle w:val="Paragraphedeliste"/>
        <w:numPr>
          <w:ilvl w:val="0"/>
          <w:numId w:val="21"/>
        </w:numPr>
        <w:spacing w:after="0" w:line="276" w:lineRule="auto"/>
        <w:jc w:val="both"/>
        <w:rPr>
          <w:rFonts w:cs="Calibri"/>
          <w:sz w:val="24"/>
          <w:szCs w:val="24"/>
        </w:rPr>
      </w:pPr>
      <w:r w:rsidRPr="00675DA5">
        <w:rPr>
          <w:rFonts w:cs="Calibri"/>
          <w:sz w:val="24"/>
          <w:szCs w:val="24"/>
        </w:rPr>
        <w:t>Si neutrophiles &lt;1000 /ml</w:t>
      </w:r>
      <w:r w:rsidRPr="00675DA5">
        <w:rPr>
          <w:rFonts w:cs="Calibri"/>
          <w:sz w:val="24"/>
          <w:szCs w:val="24"/>
        </w:rPr>
        <w:sym w:font="Wingdings" w:char="F0E0"/>
      </w:r>
      <w:proofErr w:type="spellStart"/>
      <w:r w:rsidRPr="00675DA5">
        <w:rPr>
          <w:rFonts w:cs="Calibri"/>
          <w:sz w:val="24"/>
          <w:szCs w:val="24"/>
        </w:rPr>
        <w:t>reinstaurer</w:t>
      </w:r>
      <w:proofErr w:type="spellEnd"/>
      <w:r w:rsidRPr="00675DA5">
        <w:rPr>
          <w:rFonts w:cs="Calibri"/>
          <w:sz w:val="24"/>
          <w:szCs w:val="24"/>
        </w:rPr>
        <w:t xml:space="preserve"> </w:t>
      </w:r>
      <w:proofErr w:type="spellStart"/>
      <w:r w:rsidRPr="00675DA5">
        <w:rPr>
          <w:rFonts w:cs="Calibri"/>
          <w:sz w:val="24"/>
          <w:szCs w:val="24"/>
        </w:rPr>
        <w:t>tocilizumab</w:t>
      </w:r>
      <w:proofErr w:type="spellEnd"/>
      <w:r w:rsidRPr="00675DA5">
        <w:rPr>
          <w:rFonts w:cs="Calibri"/>
          <w:sz w:val="24"/>
          <w:szCs w:val="24"/>
        </w:rPr>
        <w:t xml:space="preserve"> à 4 mg/kg</w:t>
      </w:r>
    </w:p>
    <w:p w:rsidR="00634217" w:rsidRPr="00675DA5" w:rsidRDefault="00634217" w:rsidP="00CE19DF">
      <w:pPr>
        <w:pStyle w:val="Paragraphedeliste"/>
        <w:numPr>
          <w:ilvl w:val="0"/>
          <w:numId w:val="21"/>
        </w:numPr>
        <w:spacing w:after="0" w:line="276" w:lineRule="auto"/>
        <w:jc w:val="both"/>
        <w:rPr>
          <w:rFonts w:cs="Calibri"/>
          <w:sz w:val="24"/>
          <w:szCs w:val="24"/>
        </w:rPr>
      </w:pPr>
      <w:r w:rsidRPr="00675DA5">
        <w:rPr>
          <w:rFonts w:cs="Calibri"/>
          <w:sz w:val="24"/>
          <w:szCs w:val="24"/>
        </w:rPr>
        <w:t>Neutrophiles&lt;500 /ml ou plaquettes&lt;50000 /ml : traitement non recommandé</w:t>
      </w:r>
    </w:p>
    <w:p w:rsidR="00634217" w:rsidRPr="00675DA5" w:rsidRDefault="00634217" w:rsidP="00CE19DF">
      <w:pPr>
        <w:pStyle w:val="Paragraphedeliste"/>
        <w:numPr>
          <w:ilvl w:val="0"/>
          <w:numId w:val="21"/>
        </w:numPr>
        <w:spacing w:after="0" w:line="276" w:lineRule="auto"/>
        <w:jc w:val="both"/>
        <w:rPr>
          <w:rFonts w:cs="Calibri"/>
          <w:sz w:val="24"/>
          <w:szCs w:val="24"/>
        </w:rPr>
      </w:pPr>
      <w:r w:rsidRPr="00675DA5">
        <w:rPr>
          <w:rFonts w:cs="Calibri"/>
          <w:sz w:val="24"/>
          <w:szCs w:val="24"/>
        </w:rPr>
        <w:t xml:space="preserve">Le risque de </w:t>
      </w:r>
      <w:proofErr w:type="spellStart"/>
      <w:r w:rsidRPr="00675DA5">
        <w:rPr>
          <w:rFonts w:cs="Calibri"/>
          <w:sz w:val="24"/>
          <w:szCs w:val="24"/>
        </w:rPr>
        <w:t>thrombopenie</w:t>
      </w:r>
      <w:proofErr w:type="spellEnd"/>
      <w:r w:rsidRPr="00675DA5">
        <w:rPr>
          <w:rFonts w:cs="Calibri"/>
          <w:sz w:val="24"/>
          <w:szCs w:val="24"/>
        </w:rPr>
        <w:t xml:space="preserve"> peut être plus élevé chez les patients déjà traités par anti-TNFα</w:t>
      </w:r>
    </w:p>
    <w:p w:rsidR="00634217" w:rsidRPr="00675DA5" w:rsidRDefault="00634217" w:rsidP="00CE19DF">
      <w:pPr>
        <w:numPr>
          <w:ilvl w:val="0"/>
          <w:numId w:val="22"/>
        </w:numPr>
        <w:spacing w:after="0" w:line="276" w:lineRule="auto"/>
        <w:ind w:left="360"/>
        <w:jc w:val="both"/>
        <w:rPr>
          <w:rFonts w:cs="Calibri"/>
          <w:sz w:val="24"/>
          <w:szCs w:val="24"/>
        </w:rPr>
      </w:pPr>
      <w:proofErr w:type="spellStart"/>
      <w:r w:rsidRPr="00675DA5">
        <w:rPr>
          <w:rFonts w:cs="Calibri"/>
          <w:sz w:val="24"/>
          <w:szCs w:val="24"/>
        </w:rPr>
        <w:t>Diverticulites</w:t>
      </w:r>
      <w:proofErr w:type="spellEnd"/>
      <w:r w:rsidRPr="00675DA5">
        <w:rPr>
          <w:rFonts w:cs="Calibri"/>
          <w:sz w:val="24"/>
          <w:szCs w:val="24"/>
        </w:rPr>
        <w:t xml:space="preserve"> : prescrit avec précaution chez les patients aux ATCDS d’ulcération intestinale ou de </w:t>
      </w:r>
      <w:proofErr w:type="spellStart"/>
      <w:r w:rsidRPr="00675DA5">
        <w:rPr>
          <w:rFonts w:cs="Calibri"/>
          <w:sz w:val="24"/>
          <w:szCs w:val="24"/>
        </w:rPr>
        <w:t>diverticulite</w:t>
      </w:r>
      <w:proofErr w:type="spellEnd"/>
      <w:r w:rsidRPr="00675DA5">
        <w:rPr>
          <w:rFonts w:cs="Calibri"/>
          <w:sz w:val="24"/>
          <w:szCs w:val="24"/>
        </w:rPr>
        <w:t xml:space="preserve">, en cas de douleur abdominale avec fièvre : rechercher une </w:t>
      </w:r>
      <w:proofErr w:type="spellStart"/>
      <w:r w:rsidRPr="00675DA5">
        <w:rPr>
          <w:rFonts w:cs="Calibri"/>
          <w:sz w:val="24"/>
          <w:szCs w:val="24"/>
        </w:rPr>
        <w:t>diverticulite</w:t>
      </w:r>
      <w:proofErr w:type="spellEnd"/>
      <w:r w:rsidRPr="00675DA5">
        <w:rPr>
          <w:rFonts w:cs="Calibri"/>
          <w:sz w:val="24"/>
          <w:szCs w:val="24"/>
        </w:rPr>
        <w:t xml:space="preserve"> qui peut être associé à une perforation gastro-intestinale.</w:t>
      </w:r>
    </w:p>
    <w:p w:rsidR="00634217" w:rsidRPr="00675DA5" w:rsidRDefault="00634217" w:rsidP="00CE19DF">
      <w:pPr>
        <w:numPr>
          <w:ilvl w:val="0"/>
          <w:numId w:val="22"/>
        </w:numPr>
        <w:spacing w:after="0" w:line="276" w:lineRule="auto"/>
        <w:ind w:left="360"/>
        <w:jc w:val="both"/>
        <w:rPr>
          <w:rFonts w:cs="Calibri"/>
          <w:sz w:val="24"/>
          <w:szCs w:val="24"/>
        </w:rPr>
      </w:pPr>
      <w:r w:rsidRPr="00675DA5">
        <w:rPr>
          <w:rFonts w:cs="Calibri"/>
          <w:sz w:val="24"/>
          <w:szCs w:val="24"/>
        </w:rPr>
        <w:t>Bilan lipidique : 4 à 8 semaines après le début.</w:t>
      </w:r>
    </w:p>
    <w:p w:rsidR="00634217" w:rsidRPr="00675DA5" w:rsidRDefault="00634217" w:rsidP="00CE19DF">
      <w:pPr>
        <w:numPr>
          <w:ilvl w:val="0"/>
          <w:numId w:val="22"/>
        </w:numPr>
        <w:spacing w:after="0" w:line="276" w:lineRule="auto"/>
        <w:ind w:left="360"/>
        <w:jc w:val="both"/>
        <w:rPr>
          <w:rFonts w:cs="Calibri"/>
          <w:sz w:val="24"/>
          <w:szCs w:val="24"/>
        </w:rPr>
      </w:pPr>
      <w:r w:rsidRPr="00675DA5">
        <w:rPr>
          <w:rFonts w:cs="Calibri"/>
          <w:sz w:val="24"/>
          <w:szCs w:val="24"/>
        </w:rPr>
        <w:t xml:space="preserve">Infections : en cas de survenue d’une infection grave durant le traitement interrompre jusqu’à contrôle de l’infection. En cas de tuberculose latente, traiter par antituberculeux avant d’instaurer le </w:t>
      </w:r>
      <w:proofErr w:type="spellStart"/>
      <w:r w:rsidRPr="00675DA5">
        <w:rPr>
          <w:rFonts w:cs="Calibri"/>
          <w:sz w:val="24"/>
          <w:szCs w:val="24"/>
        </w:rPr>
        <w:t>tocilizumab</w:t>
      </w:r>
      <w:proofErr w:type="spellEnd"/>
      <w:r w:rsidRPr="00675DA5">
        <w:rPr>
          <w:rFonts w:cs="Calibri"/>
          <w:sz w:val="24"/>
          <w:szCs w:val="24"/>
        </w:rPr>
        <w:t>.</w:t>
      </w:r>
    </w:p>
    <w:p w:rsidR="00634217" w:rsidRPr="00675DA5" w:rsidRDefault="00634217" w:rsidP="00CE19DF">
      <w:pPr>
        <w:numPr>
          <w:ilvl w:val="0"/>
          <w:numId w:val="22"/>
        </w:numPr>
        <w:spacing w:after="0" w:line="276" w:lineRule="auto"/>
        <w:ind w:left="360"/>
        <w:jc w:val="both"/>
        <w:rPr>
          <w:rFonts w:cs="Calibri"/>
          <w:sz w:val="24"/>
          <w:szCs w:val="24"/>
        </w:rPr>
      </w:pPr>
      <w:r w:rsidRPr="00675DA5">
        <w:rPr>
          <w:rFonts w:cs="Calibri"/>
          <w:sz w:val="24"/>
          <w:szCs w:val="24"/>
        </w:rPr>
        <w:t>Vaccins : ne pas administrer les vaccins vivants atténués simultanément avec le traitement.</w:t>
      </w:r>
    </w:p>
    <w:p w:rsidR="00634217" w:rsidRPr="00675DA5" w:rsidRDefault="00634217" w:rsidP="00CE19DF">
      <w:pPr>
        <w:numPr>
          <w:ilvl w:val="0"/>
          <w:numId w:val="22"/>
        </w:numPr>
        <w:spacing w:after="0" w:line="276" w:lineRule="auto"/>
        <w:ind w:left="360"/>
        <w:jc w:val="both"/>
        <w:rPr>
          <w:rFonts w:cs="Calibri"/>
          <w:sz w:val="24"/>
          <w:szCs w:val="24"/>
        </w:rPr>
      </w:pPr>
      <w:r w:rsidRPr="00675DA5">
        <w:rPr>
          <w:rFonts w:cs="Calibri"/>
          <w:sz w:val="24"/>
          <w:szCs w:val="24"/>
        </w:rPr>
        <w:t>Effets thérapeutiques : estimés entre 3 mois et 6 mois,</w:t>
      </w:r>
    </w:p>
    <w:p w:rsidR="00634217" w:rsidRPr="00675DA5" w:rsidRDefault="00634217" w:rsidP="00CE19DF">
      <w:pPr>
        <w:numPr>
          <w:ilvl w:val="0"/>
          <w:numId w:val="21"/>
        </w:numPr>
        <w:spacing w:after="0" w:line="276" w:lineRule="auto"/>
        <w:jc w:val="both"/>
        <w:rPr>
          <w:rFonts w:cs="Calibri"/>
          <w:sz w:val="24"/>
          <w:szCs w:val="24"/>
        </w:rPr>
      </w:pPr>
      <w:r w:rsidRPr="00675DA5">
        <w:rPr>
          <w:rFonts w:cs="Calibri"/>
          <w:sz w:val="24"/>
          <w:szCs w:val="24"/>
        </w:rPr>
        <w:t xml:space="preserve">But du traitement : obtenir une rémission (DAS28&lt;2,6), ou activité faible (DAS28&lt; 3,2) </w:t>
      </w:r>
    </w:p>
    <w:p w:rsidR="00634217" w:rsidRPr="00675DA5" w:rsidRDefault="00634217" w:rsidP="00CE19DF">
      <w:pPr>
        <w:numPr>
          <w:ilvl w:val="0"/>
          <w:numId w:val="21"/>
        </w:numPr>
        <w:spacing w:after="0" w:line="276" w:lineRule="auto"/>
        <w:jc w:val="both"/>
        <w:rPr>
          <w:rFonts w:cs="Calibri"/>
          <w:sz w:val="24"/>
          <w:szCs w:val="24"/>
        </w:rPr>
      </w:pPr>
      <w:r w:rsidRPr="00675DA5">
        <w:rPr>
          <w:rFonts w:cs="Calibri"/>
          <w:sz w:val="24"/>
          <w:szCs w:val="24"/>
        </w:rPr>
        <w:t>Si la différence du DAS28&lt;0,6 après 12 semaines</w:t>
      </w:r>
      <w:r w:rsidRPr="00675DA5">
        <w:rPr>
          <w:rFonts w:cs="Calibri"/>
          <w:sz w:val="24"/>
          <w:szCs w:val="24"/>
        </w:rPr>
        <w:sym w:font="Wingdings" w:char="F0E0"/>
      </w:r>
      <w:r w:rsidRPr="00675DA5">
        <w:rPr>
          <w:rFonts w:cs="Calibri"/>
          <w:sz w:val="24"/>
          <w:szCs w:val="24"/>
        </w:rPr>
        <w:t xml:space="preserve"> arrêt du traitement</w:t>
      </w:r>
    </w:p>
    <w:p w:rsidR="00634217" w:rsidRPr="00675DA5" w:rsidRDefault="00634217" w:rsidP="00CE19DF">
      <w:pPr>
        <w:numPr>
          <w:ilvl w:val="0"/>
          <w:numId w:val="21"/>
        </w:numPr>
        <w:spacing w:after="0" w:line="276" w:lineRule="auto"/>
        <w:jc w:val="both"/>
        <w:rPr>
          <w:rFonts w:cs="Calibri"/>
          <w:sz w:val="24"/>
          <w:szCs w:val="24"/>
        </w:rPr>
      </w:pPr>
      <w:r w:rsidRPr="00675DA5">
        <w:rPr>
          <w:rFonts w:cs="Calibri"/>
          <w:sz w:val="24"/>
          <w:szCs w:val="24"/>
        </w:rPr>
        <w:t>Réponse thérapeutique (étude multicentrique en association au MTX) à 24 semaines de traitement :</w:t>
      </w:r>
    </w:p>
    <w:p w:rsidR="00634217" w:rsidRPr="00675DA5" w:rsidRDefault="00634217" w:rsidP="00634217">
      <w:pPr>
        <w:spacing w:after="0"/>
        <w:ind w:left="1494"/>
        <w:jc w:val="both"/>
        <w:rPr>
          <w:rFonts w:cs="Calibri"/>
          <w:sz w:val="24"/>
          <w:szCs w:val="24"/>
        </w:rPr>
      </w:pPr>
      <w:r w:rsidRPr="00675DA5">
        <w:rPr>
          <w:rFonts w:cs="Calibri"/>
          <w:sz w:val="24"/>
          <w:szCs w:val="24"/>
        </w:rPr>
        <w:t>* amélioration significative : ACR20, ACR50, ACR70 /placebo</w:t>
      </w:r>
    </w:p>
    <w:p w:rsidR="00634217" w:rsidRPr="00675DA5" w:rsidRDefault="00634217" w:rsidP="00634217">
      <w:pPr>
        <w:spacing w:after="0"/>
        <w:ind w:left="1494"/>
        <w:jc w:val="both"/>
        <w:rPr>
          <w:rFonts w:cs="Calibri"/>
          <w:sz w:val="24"/>
          <w:szCs w:val="24"/>
        </w:rPr>
      </w:pPr>
      <w:r w:rsidRPr="00675DA5">
        <w:rPr>
          <w:rFonts w:cs="Calibri"/>
          <w:sz w:val="24"/>
          <w:szCs w:val="24"/>
        </w:rPr>
        <w:t>* Taux de rémissions (DAS28&lt;2,5) significativement plus élevé /placebo</w:t>
      </w:r>
    </w:p>
    <w:p w:rsidR="00634217" w:rsidRPr="00675DA5" w:rsidRDefault="00634217" w:rsidP="00634217">
      <w:pPr>
        <w:spacing w:after="0"/>
        <w:ind w:left="1494"/>
        <w:jc w:val="both"/>
        <w:rPr>
          <w:rFonts w:cs="Calibri"/>
          <w:sz w:val="24"/>
          <w:szCs w:val="24"/>
        </w:rPr>
      </w:pPr>
      <w:r w:rsidRPr="00675DA5">
        <w:rPr>
          <w:rFonts w:cs="Calibri"/>
          <w:sz w:val="24"/>
          <w:szCs w:val="24"/>
        </w:rPr>
        <w:t xml:space="preserve">* diminution rapide de la CRP </w:t>
      </w:r>
      <w:r w:rsidR="00542678" w:rsidRPr="00675DA5">
        <w:rPr>
          <w:rFonts w:cs="Calibri"/>
          <w:sz w:val="24"/>
          <w:szCs w:val="24"/>
        </w:rPr>
        <w:t>dès</w:t>
      </w:r>
      <w:r w:rsidRPr="00675DA5">
        <w:rPr>
          <w:rFonts w:cs="Calibri"/>
          <w:sz w:val="24"/>
          <w:szCs w:val="24"/>
        </w:rPr>
        <w:t xml:space="preserve"> la 1</w:t>
      </w:r>
      <w:r w:rsidRPr="00675DA5">
        <w:rPr>
          <w:rFonts w:cs="Calibri"/>
          <w:sz w:val="24"/>
          <w:szCs w:val="24"/>
          <w:vertAlign w:val="superscript"/>
        </w:rPr>
        <w:t>ère</w:t>
      </w:r>
      <w:r w:rsidRPr="00675DA5">
        <w:rPr>
          <w:rFonts w:cs="Calibri"/>
          <w:sz w:val="24"/>
          <w:szCs w:val="24"/>
        </w:rPr>
        <w:t xml:space="preserve"> perfusion</w:t>
      </w:r>
    </w:p>
    <w:p w:rsidR="00634217" w:rsidRDefault="00634217" w:rsidP="00634217">
      <w:pPr>
        <w:spacing w:after="0"/>
        <w:ind w:left="1494"/>
        <w:jc w:val="both"/>
        <w:rPr>
          <w:rFonts w:cs="Calibri"/>
          <w:sz w:val="24"/>
          <w:szCs w:val="24"/>
        </w:rPr>
      </w:pPr>
      <w:r w:rsidRPr="00675DA5">
        <w:rPr>
          <w:rFonts w:cs="Calibri"/>
          <w:sz w:val="24"/>
          <w:szCs w:val="24"/>
        </w:rPr>
        <w:t>* ↑</w:t>
      </w:r>
      <w:proofErr w:type="spellStart"/>
      <w:r w:rsidRPr="00675DA5">
        <w:rPr>
          <w:rFonts w:cs="Calibri"/>
          <w:sz w:val="24"/>
          <w:szCs w:val="24"/>
        </w:rPr>
        <w:t>Hb</w:t>
      </w:r>
      <w:proofErr w:type="spellEnd"/>
      <w:r w:rsidRPr="00675DA5">
        <w:rPr>
          <w:rFonts w:cs="Calibri"/>
          <w:sz w:val="24"/>
          <w:szCs w:val="24"/>
        </w:rPr>
        <w:t xml:space="preserve"> à 2semaines de traitement</w:t>
      </w:r>
    </w:p>
    <w:p w:rsidR="00A67C90" w:rsidRPr="00BC447C" w:rsidRDefault="00E71893" w:rsidP="004D1E41">
      <w:pPr>
        <w:jc w:val="both"/>
        <w:rPr>
          <w:b/>
          <w:bCs/>
          <w:color w:val="000000" w:themeColor="text1"/>
          <w:sz w:val="24"/>
          <w:szCs w:val="24"/>
        </w:rPr>
      </w:pPr>
      <w:r>
        <w:rPr>
          <w:b/>
          <w:bCs/>
          <w:color w:val="000000" w:themeColor="text1"/>
          <w:sz w:val="24"/>
          <w:szCs w:val="24"/>
        </w:rPr>
        <w:t xml:space="preserve">a- </w:t>
      </w:r>
      <w:r w:rsidR="00A67C90">
        <w:rPr>
          <w:b/>
          <w:bCs/>
          <w:color w:val="000000" w:themeColor="text1"/>
          <w:sz w:val="24"/>
          <w:szCs w:val="24"/>
        </w:rPr>
        <w:t>Inhibiteurs des JAK</w:t>
      </w:r>
      <w:r>
        <w:rPr>
          <w:b/>
          <w:bCs/>
          <w:color w:val="000000" w:themeColor="text1"/>
          <w:sz w:val="24"/>
          <w:szCs w:val="24"/>
        </w:rPr>
        <w:t xml:space="preserve"> (Janus </w:t>
      </w:r>
      <w:proofErr w:type="spellStart"/>
      <w:r>
        <w:rPr>
          <w:b/>
          <w:bCs/>
          <w:color w:val="000000" w:themeColor="text1"/>
          <w:sz w:val="24"/>
          <w:szCs w:val="24"/>
        </w:rPr>
        <w:t>Kinas</w:t>
      </w:r>
      <w:proofErr w:type="spellEnd"/>
      <w:r>
        <w:rPr>
          <w:b/>
          <w:bCs/>
          <w:color w:val="000000" w:themeColor="text1"/>
          <w:sz w:val="24"/>
          <w:szCs w:val="24"/>
        </w:rPr>
        <w:t>)</w:t>
      </w:r>
    </w:p>
    <w:p w:rsidR="00BC447C" w:rsidRPr="00BC447C" w:rsidRDefault="00BC447C" w:rsidP="004D1E41">
      <w:pPr>
        <w:jc w:val="both"/>
        <w:rPr>
          <w:color w:val="000000" w:themeColor="text1"/>
          <w:sz w:val="24"/>
          <w:szCs w:val="24"/>
        </w:rPr>
      </w:pPr>
      <w:r>
        <w:rPr>
          <w:color w:val="000000" w:themeColor="text1"/>
          <w:sz w:val="24"/>
          <w:szCs w:val="24"/>
        </w:rPr>
        <w:t>-</w:t>
      </w:r>
      <w:r w:rsidRPr="00BC447C">
        <w:rPr>
          <w:color w:val="000000" w:themeColor="text1"/>
          <w:sz w:val="24"/>
          <w:szCs w:val="24"/>
        </w:rPr>
        <w:t xml:space="preserve">Le </w:t>
      </w:r>
      <w:proofErr w:type="spellStart"/>
      <w:r w:rsidRPr="00BC447C">
        <w:rPr>
          <w:color w:val="000000" w:themeColor="text1"/>
          <w:sz w:val="24"/>
          <w:szCs w:val="24"/>
        </w:rPr>
        <w:t>Tofacitinib</w:t>
      </w:r>
      <w:proofErr w:type="spellEnd"/>
      <w:r w:rsidRPr="00BC447C">
        <w:rPr>
          <w:color w:val="000000" w:themeColor="text1"/>
          <w:sz w:val="24"/>
          <w:szCs w:val="24"/>
        </w:rPr>
        <w:t xml:space="preserve"> considère comme pan-JAK, tandis que le </w:t>
      </w:r>
      <w:proofErr w:type="spellStart"/>
      <w:r w:rsidRPr="00BC447C">
        <w:rPr>
          <w:color w:val="000000" w:themeColor="text1"/>
          <w:sz w:val="24"/>
          <w:szCs w:val="24"/>
        </w:rPr>
        <w:t>Baricitinib</w:t>
      </w:r>
      <w:proofErr w:type="spellEnd"/>
      <w:r w:rsidRPr="00BC447C">
        <w:rPr>
          <w:color w:val="000000" w:themeColor="text1"/>
          <w:sz w:val="24"/>
          <w:szCs w:val="24"/>
        </w:rPr>
        <w:t xml:space="preserve"> possède une action préférentielle essentiellement sur JAK1 et JAK2.</w:t>
      </w:r>
    </w:p>
    <w:p w:rsidR="00BC447C" w:rsidRPr="00BC447C" w:rsidRDefault="00BC447C" w:rsidP="004D1E41">
      <w:pPr>
        <w:jc w:val="both"/>
        <w:rPr>
          <w:color w:val="000000" w:themeColor="text1"/>
          <w:sz w:val="24"/>
          <w:szCs w:val="24"/>
        </w:rPr>
      </w:pPr>
      <w:r>
        <w:rPr>
          <w:color w:val="000000" w:themeColor="text1"/>
          <w:sz w:val="24"/>
          <w:szCs w:val="24"/>
        </w:rPr>
        <w:t>-</w:t>
      </w:r>
      <w:r w:rsidRPr="00BC447C">
        <w:rPr>
          <w:color w:val="000000" w:themeColor="text1"/>
          <w:sz w:val="24"/>
          <w:szCs w:val="24"/>
        </w:rPr>
        <w:t>Absorption digestive et l’élimination sont rapides avec des demi-vies courtes </w:t>
      </w:r>
    </w:p>
    <w:p w:rsidR="00BC447C" w:rsidRPr="00BC447C" w:rsidRDefault="00BC447C" w:rsidP="004D1E41">
      <w:pPr>
        <w:jc w:val="both"/>
        <w:rPr>
          <w:color w:val="000000" w:themeColor="text1"/>
          <w:sz w:val="24"/>
          <w:szCs w:val="24"/>
        </w:rPr>
      </w:pPr>
      <w:r>
        <w:rPr>
          <w:color w:val="000000" w:themeColor="text1"/>
          <w:sz w:val="24"/>
          <w:szCs w:val="24"/>
        </w:rPr>
        <w:t>-</w:t>
      </w:r>
      <w:r w:rsidRPr="00BC447C">
        <w:rPr>
          <w:color w:val="000000" w:themeColor="text1"/>
          <w:sz w:val="24"/>
          <w:szCs w:val="24"/>
        </w:rPr>
        <w:t xml:space="preserve">Elimination de </w:t>
      </w:r>
      <w:proofErr w:type="spellStart"/>
      <w:r w:rsidRPr="00BC447C">
        <w:rPr>
          <w:color w:val="000000" w:themeColor="text1"/>
          <w:sz w:val="24"/>
          <w:szCs w:val="24"/>
        </w:rPr>
        <w:t>Tofacitinib</w:t>
      </w:r>
      <w:proofErr w:type="spellEnd"/>
      <w:r w:rsidRPr="00BC447C">
        <w:rPr>
          <w:color w:val="000000" w:themeColor="text1"/>
          <w:sz w:val="24"/>
          <w:szCs w:val="24"/>
        </w:rPr>
        <w:t xml:space="preserve"> liée au métabolisme hépatique, Insuffisance hépatique modère impose une réduction de dose alors qu’insuffisance hépatique sévère est une </w:t>
      </w:r>
      <w:r w:rsidR="00542678" w:rsidRPr="00BC447C">
        <w:rPr>
          <w:color w:val="000000" w:themeColor="text1"/>
          <w:sz w:val="24"/>
          <w:szCs w:val="24"/>
        </w:rPr>
        <w:t>contre-indication</w:t>
      </w:r>
    </w:p>
    <w:p w:rsidR="00BC447C" w:rsidRPr="00BC447C" w:rsidRDefault="00BC447C" w:rsidP="004D1E41">
      <w:pPr>
        <w:jc w:val="both"/>
        <w:rPr>
          <w:color w:val="000000" w:themeColor="text1"/>
          <w:sz w:val="24"/>
          <w:szCs w:val="24"/>
        </w:rPr>
      </w:pPr>
      <w:r>
        <w:rPr>
          <w:color w:val="000000" w:themeColor="text1"/>
          <w:sz w:val="24"/>
          <w:szCs w:val="24"/>
        </w:rPr>
        <w:t>-</w:t>
      </w:r>
      <w:r w:rsidRPr="00BC447C">
        <w:rPr>
          <w:color w:val="000000" w:themeColor="text1"/>
          <w:sz w:val="24"/>
          <w:szCs w:val="24"/>
        </w:rPr>
        <w:t xml:space="preserve">Pour le </w:t>
      </w:r>
      <w:proofErr w:type="spellStart"/>
      <w:r w:rsidRPr="00BC447C">
        <w:rPr>
          <w:color w:val="000000" w:themeColor="text1"/>
          <w:sz w:val="24"/>
          <w:szCs w:val="24"/>
        </w:rPr>
        <w:t>Baricitinib</w:t>
      </w:r>
      <w:proofErr w:type="spellEnd"/>
      <w:r w:rsidRPr="00BC447C">
        <w:rPr>
          <w:color w:val="000000" w:themeColor="text1"/>
          <w:sz w:val="24"/>
          <w:szCs w:val="24"/>
        </w:rPr>
        <w:t xml:space="preserve">, l’élimination est principalement rénale, justifiant la </w:t>
      </w:r>
      <w:proofErr w:type="spellStart"/>
      <w:r w:rsidRPr="00BC447C">
        <w:rPr>
          <w:color w:val="000000" w:themeColor="text1"/>
          <w:sz w:val="24"/>
          <w:szCs w:val="24"/>
        </w:rPr>
        <w:t>dimunition</w:t>
      </w:r>
      <w:proofErr w:type="spellEnd"/>
      <w:r w:rsidRPr="00BC447C">
        <w:rPr>
          <w:color w:val="000000" w:themeColor="text1"/>
          <w:sz w:val="24"/>
          <w:szCs w:val="24"/>
        </w:rPr>
        <w:t xml:space="preserve"> de dose pour une insuffisance rénale modéré et la </w:t>
      </w:r>
      <w:proofErr w:type="spellStart"/>
      <w:r w:rsidRPr="00BC447C">
        <w:rPr>
          <w:color w:val="000000" w:themeColor="text1"/>
          <w:sz w:val="24"/>
          <w:szCs w:val="24"/>
        </w:rPr>
        <w:t>contre indication</w:t>
      </w:r>
      <w:proofErr w:type="spellEnd"/>
      <w:r w:rsidRPr="00BC447C">
        <w:rPr>
          <w:color w:val="000000" w:themeColor="text1"/>
          <w:sz w:val="24"/>
          <w:szCs w:val="24"/>
        </w:rPr>
        <w:t xml:space="preserve"> pour une clairance inférieure 30ml/min. </w:t>
      </w:r>
    </w:p>
    <w:p w:rsidR="00BC447C" w:rsidRPr="00BC447C" w:rsidRDefault="00BC447C" w:rsidP="004D1E41">
      <w:pPr>
        <w:jc w:val="both"/>
        <w:rPr>
          <w:color w:val="000000" w:themeColor="text1"/>
          <w:sz w:val="24"/>
          <w:szCs w:val="24"/>
        </w:rPr>
      </w:pPr>
      <w:r>
        <w:rPr>
          <w:color w:val="000000" w:themeColor="text1"/>
          <w:sz w:val="24"/>
          <w:szCs w:val="24"/>
        </w:rPr>
        <w:lastRenderedPageBreak/>
        <w:t>-</w:t>
      </w:r>
      <w:r w:rsidRPr="00BC447C">
        <w:rPr>
          <w:color w:val="000000" w:themeColor="text1"/>
          <w:sz w:val="24"/>
          <w:szCs w:val="24"/>
        </w:rPr>
        <w:t xml:space="preserve">Les effets indésirables sont principalement liés à </w:t>
      </w:r>
      <w:r w:rsidRPr="00BC447C">
        <w:rPr>
          <w:b/>
          <w:bCs/>
          <w:color w:val="000000" w:themeColor="text1"/>
          <w:sz w:val="24"/>
          <w:szCs w:val="24"/>
        </w:rPr>
        <w:t>l’immunodépression</w:t>
      </w:r>
      <w:r w:rsidRPr="00BC447C">
        <w:rPr>
          <w:color w:val="000000" w:themeColor="text1"/>
          <w:sz w:val="24"/>
          <w:szCs w:val="24"/>
        </w:rPr>
        <w:t xml:space="preserve">, avec un risque infection sévère ; Une mention particulière doit être faite sur la fréquence </w:t>
      </w:r>
      <w:r w:rsidRPr="00BC447C">
        <w:rPr>
          <w:b/>
          <w:bCs/>
          <w:color w:val="000000" w:themeColor="text1"/>
          <w:sz w:val="24"/>
          <w:szCs w:val="24"/>
        </w:rPr>
        <w:t>de zona plus</w:t>
      </w:r>
      <w:r w:rsidRPr="00BC447C">
        <w:rPr>
          <w:color w:val="000000" w:themeColor="text1"/>
          <w:sz w:val="24"/>
          <w:szCs w:val="24"/>
        </w:rPr>
        <w:t xml:space="preserve"> </w:t>
      </w:r>
      <w:r w:rsidRPr="00BC447C">
        <w:rPr>
          <w:b/>
          <w:bCs/>
          <w:color w:val="000000" w:themeColor="text1"/>
          <w:sz w:val="24"/>
          <w:szCs w:val="24"/>
        </w:rPr>
        <w:t>élevée</w:t>
      </w:r>
      <w:r w:rsidRPr="00BC447C">
        <w:rPr>
          <w:color w:val="000000" w:themeColor="text1"/>
          <w:sz w:val="24"/>
          <w:szCs w:val="24"/>
        </w:rPr>
        <w:t xml:space="preserve"> avec cette classe de médicaments ; risque </w:t>
      </w:r>
      <w:r w:rsidRPr="00BC447C">
        <w:rPr>
          <w:b/>
          <w:bCs/>
          <w:color w:val="000000" w:themeColor="text1"/>
          <w:sz w:val="24"/>
          <w:szCs w:val="24"/>
        </w:rPr>
        <w:t>de perforation colique</w:t>
      </w:r>
      <w:r w:rsidRPr="00BC447C">
        <w:rPr>
          <w:color w:val="000000" w:themeColor="text1"/>
          <w:sz w:val="24"/>
          <w:szCs w:val="24"/>
        </w:rPr>
        <w:t xml:space="preserve"> et </w:t>
      </w:r>
      <w:r w:rsidRPr="00BC447C">
        <w:rPr>
          <w:b/>
          <w:bCs/>
          <w:color w:val="000000" w:themeColor="text1"/>
          <w:sz w:val="24"/>
          <w:szCs w:val="24"/>
        </w:rPr>
        <w:t xml:space="preserve">hyperlipidémie </w:t>
      </w:r>
      <w:r w:rsidRPr="00BC447C">
        <w:rPr>
          <w:color w:val="000000" w:themeColor="text1"/>
          <w:sz w:val="24"/>
          <w:szCs w:val="24"/>
        </w:rPr>
        <w:t>lors d’inhibition IL6</w:t>
      </w:r>
    </w:p>
    <w:p w:rsidR="00BC447C" w:rsidRPr="00BC447C" w:rsidRDefault="00BC447C" w:rsidP="004D1E41">
      <w:pPr>
        <w:jc w:val="both"/>
        <w:rPr>
          <w:color w:val="000000" w:themeColor="text1"/>
          <w:sz w:val="24"/>
          <w:szCs w:val="24"/>
        </w:rPr>
      </w:pPr>
      <w:r>
        <w:rPr>
          <w:color w:val="000000" w:themeColor="text1"/>
          <w:sz w:val="24"/>
          <w:szCs w:val="24"/>
        </w:rPr>
        <w:t>-</w:t>
      </w:r>
      <w:r w:rsidRPr="00BC447C">
        <w:rPr>
          <w:color w:val="000000" w:themeColor="text1"/>
          <w:sz w:val="24"/>
          <w:szCs w:val="24"/>
        </w:rPr>
        <w:t>Les 2 molécules sont indiquées en association avec le méthotrexate dans le traitement de la PR active modéré à sévère , ils peuvent être aussi administrés en monothérapie en cas d’intolérance au MTX ou lorsque le traitement  avec le méthotrexate est inadapté .</w:t>
      </w:r>
    </w:p>
    <w:p w:rsidR="00BC447C" w:rsidRPr="00BC447C" w:rsidRDefault="00BC447C" w:rsidP="004D1E41">
      <w:pPr>
        <w:jc w:val="both"/>
        <w:rPr>
          <w:color w:val="000000" w:themeColor="text1"/>
          <w:sz w:val="24"/>
          <w:szCs w:val="24"/>
        </w:rPr>
      </w:pPr>
      <w:r>
        <w:rPr>
          <w:color w:val="000000" w:themeColor="text1"/>
          <w:sz w:val="24"/>
          <w:szCs w:val="24"/>
        </w:rPr>
        <w:t>-</w:t>
      </w:r>
      <w:r w:rsidRPr="00BC447C">
        <w:rPr>
          <w:color w:val="000000" w:themeColor="text1"/>
          <w:sz w:val="24"/>
          <w:szCs w:val="24"/>
        </w:rPr>
        <w:t xml:space="preserve">Les interaction médicamenteuse les plus importantes à connaitre sont avec la </w:t>
      </w:r>
      <w:proofErr w:type="spellStart"/>
      <w:r w:rsidRPr="00BC447C">
        <w:rPr>
          <w:b/>
          <w:bCs/>
          <w:color w:val="000000" w:themeColor="text1"/>
          <w:sz w:val="24"/>
          <w:szCs w:val="24"/>
        </w:rPr>
        <w:t>rifampicine</w:t>
      </w:r>
      <w:proofErr w:type="gramStart"/>
      <w:r w:rsidRPr="00BC447C">
        <w:rPr>
          <w:color w:val="000000" w:themeColor="text1"/>
          <w:sz w:val="24"/>
          <w:szCs w:val="24"/>
        </w:rPr>
        <w:t>,qui</w:t>
      </w:r>
      <w:proofErr w:type="spellEnd"/>
      <w:proofErr w:type="gramEnd"/>
      <w:r w:rsidRPr="00BC447C">
        <w:rPr>
          <w:color w:val="000000" w:themeColor="text1"/>
          <w:sz w:val="24"/>
          <w:szCs w:val="24"/>
        </w:rPr>
        <w:t xml:space="preserve"> inhibe action </w:t>
      </w:r>
      <w:proofErr w:type="spellStart"/>
      <w:r w:rsidRPr="00BC447C">
        <w:rPr>
          <w:color w:val="000000" w:themeColor="text1"/>
          <w:sz w:val="24"/>
          <w:szCs w:val="24"/>
        </w:rPr>
        <w:t>Tofacitinib,et</w:t>
      </w:r>
      <w:proofErr w:type="spellEnd"/>
      <w:r w:rsidRPr="00BC447C">
        <w:rPr>
          <w:color w:val="000000" w:themeColor="text1"/>
          <w:sz w:val="24"/>
          <w:szCs w:val="24"/>
        </w:rPr>
        <w:t xml:space="preserve"> avec  </w:t>
      </w:r>
      <w:r w:rsidRPr="00BC447C">
        <w:rPr>
          <w:b/>
          <w:bCs/>
          <w:color w:val="000000" w:themeColor="text1"/>
          <w:sz w:val="24"/>
          <w:szCs w:val="24"/>
        </w:rPr>
        <w:t xml:space="preserve">le </w:t>
      </w:r>
      <w:proofErr w:type="spellStart"/>
      <w:r w:rsidRPr="00BC447C">
        <w:rPr>
          <w:b/>
          <w:bCs/>
          <w:color w:val="000000" w:themeColor="text1"/>
          <w:sz w:val="24"/>
          <w:szCs w:val="24"/>
        </w:rPr>
        <w:t>probénécide</w:t>
      </w:r>
      <w:proofErr w:type="spellEnd"/>
      <w:r w:rsidRPr="00BC447C">
        <w:rPr>
          <w:color w:val="000000" w:themeColor="text1"/>
          <w:sz w:val="24"/>
          <w:szCs w:val="24"/>
        </w:rPr>
        <w:t xml:space="preserve">  qui inhibe l’élimination rénale du </w:t>
      </w:r>
      <w:proofErr w:type="spellStart"/>
      <w:r w:rsidRPr="00BC447C">
        <w:rPr>
          <w:color w:val="000000" w:themeColor="text1"/>
          <w:sz w:val="24"/>
          <w:szCs w:val="24"/>
        </w:rPr>
        <w:t>Baricitinib</w:t>
      </w:r>
      <w:proofErr w:type="spellEnd"/>
      <w:r w:rsidRPr="00BC447C">
        <w:rPr>
          <w:color w:val="000000" w:themeColor="text1"/>
          <w:sz w:val="24"/>
          <w:szCs w:val="24"/>
        </w:rPr>
        <w:t>.</w:t>
      </w:r>
    </w:p>
    <w:p w:rsidR="006433A0" w:rsidRPr="004D1E41" w:rsidRDefault="006433A0" w:rsidP="006433A0">
      <w:pPr>
        <w:spacing w:after="0" w:line="276" w:lineRule="auto"/>
        <w:jc w:val="both"/>
        <w:rPr>
          <w:rFonts w:cs="Calibri"/>
          <w:b/>
          <w:bCs/>
          <w:sz w:val="28"/>
          <w:szCs w:val="24"/>
        </w:rPr>
      </w:pPr>
      <w:r w:rsidRPr="004D1E41">
        <w:rPr>
          <w:rFonts w:cs="Calibri"/>
          <w:b/>
          <w:bCs/>
          <w:sz w:val="28"/>
          <w:szCs w:val="24"/>
        </w:rPr>
        <w:t xml:space="preserve">3-Traitements locaux : </w:t>
      </w:r>
    </w:p>
    <w:p w:rsidR="006433A0" w:rsidRPr="006433A0" w:rsidRDefault="006433A0" w:rsidP="006433A0">
      <w:pPr>
        <w:spacing w:after="0" w:line="276" w:lineRule="auto"/>
        <w:jc w:val="both"/>
        <w:rPr>
          <w:rFonts w:cs="Calibri"/>
          <w:sz w:val="24"/>
          <w:szCs w:val="24"/>
        </w:rPr>
      </w:pPr>
      <w:r w:rsidRPr="006433A0">
        <w:rPr>
          <w:rFonts w:cs="Calibri"/>
          <w:sz w:val="24"/>
          <w:szCs w:val="24"/>
        </w:rPr>
        <w:t xml:space="preserve"> Indispensables, en complément du traitement général.  </w:t>
      </w:r>
    </w:p>
    <w:p w:rsidR="006433A0" w:rsidRPr="006433A0" w:rsidRDefault="006433A0" w:rsidP="006433A0">
      <w:pPr>
        <w:spacing w:after="0" w:line="276" w:lineRule="auto"/>
        <w:jc w:val="both"/>
        <w:rPr>
          <w:rFonts w:cs="Calibri"/>
          <w:sz w:val="24"/>
          <w:szCs w:val="24"/>
        </w:rPr>
      </w:pPr>
      <w:r w:rsidRPr="006433A0">
        <w:rPr>
          <w:rFonts w:cs="Calibri"/>
          <w:sz w:val="24"/>
          <w:szCs w:val="24"/>
        </w:rPr>
        <w:t xml:space="preserve"> </w:t>
      </w:r>
      <w:r w:rsidRPr="006433A0">
        <w:rPr>
          <w:rFonts w:ascii="Calibri" w:hAnsi="Calibri" w:cs="Calibri"/>
          <w:b/>
          <w:bCs/>
          <w:sz w:val="24"/>
          <w:szCs w:val="24"/>
        </w:rPr>
        <w:t>a-</w:t>
      </w:r>
      <w:r w:rsidRPr="006433A0">
        <w:rPr>
          <w:rFonts w:ascii="Calibri" w:hAnsi="Calibri" w:cs="Calibri"/>
          <w:sz w:val="24"/>
          <w:szCs w:val="24"/>
        </w:rPr>
        <w:t xml:space="preserve"> Ponction évacuatrice : effectuée chaque fois que nécessaire car elle apporte soulagement et confort.  </w:t>
      </w:r>
    </w:p>
    <w:p w:rsidR="006433A0" w:rsidRDefault="006433A0" w:rsidP="006433A0">
      <w:pPr>
        <w:spacing w:after="0" w:line="276" w:lineRule="auto"/>
        <w:jc w:val="both"/>
        <w:rPr>
          <w:rFonts w:cs="Calibri"/>
          <w:sz w:val="24"/>
          <w:szCs w:val="24"/>
        </w:rPr>
      </w:pPr>
      <w:r w:rsidRPr="006433A0">
        <w:rPr>
          <w:rFonts w:cs="Calibri"/>
          <w:b/>
          <w:bCs/>
          <w:sz w:val="24"/>
          <w:szCs w:val="24"/>
        </w:rPr>
        <w:t xml:space="preserve">  b-</w:t>
      </w:r>
      <w:r w:rsidRPr="006433A0">
        <w:rPr>
          <w:rFonts w:cs="Calibri"/>
          <w:sz w:val="24"/>
          <w:szCs w:val="24"/>
        </w:rPr>
        <w:t xml:space="preserve"> Infilt</w:t>
      </w:r>
      <w:r w:rsidR="00542678">
        <w:rPr>
          <w:rFonts w:cs="Calibri"/>
          <w:sz w:val="24"/>
          <w:szCs w:val="24"/>
        </w:rPr>
        <w:t xml:space="preserve">ration de dérivés cortisoniques : </w:t>
      </w:r>
      <w:r w:rsidRPr="006433A0">
        <w:rPr>
          <w:rFonts w:cs="Calibri"/>
          <w:sz w:val="24"/>
          <w:szCs w:val="24"/>
        </w:rPr>
        <w:t xml:space="preserve">Par des corticoïdes retard.  </w:t>
      </w:r>
    </w:p>
    <w:p w:rsidR="000F70A3" w:rsidRDefault="006433A0" w:rsidP="006433A0">
      <w:pPr>
        <w:spacing w:after="0" w:line="276" w:lineRule="auto"/>
        <w:jc w:val="both"/>
        <w:rPr>
          <w:rFonts w:cs="Calibri"/>
          <w:sz w:val="24"/>
          <w:szCs w:val="24"/>
        </w:rPr>
      </w:pPr>
      <w:r w:rsidRPr="006433A0">
        <w:rPr>
          <w:rFonts w:cs="Calibri"/>
          <w:sz w:val="24"/>
          <w:szCs w:val="24"/>
        </w:rPr>
        <w:t xml:space="preserve">- Traitement de choix : </w:t>
      </w:r>
      <w:proofErr w:type="spellStart"/>
      <w:r w:rsidRPr="006433A0">
        <w:rPr>
          <w:rFonts w:cs="Calibri"/>
          <w:sz w:val="24"/>
          <w:szCs w:val="24"/>
        </w:rPr>
        <w:t>héxacétonide</w:t>
      </w:r>
      <w:proofErr w:type="spellEnd"/>
      <w:r w:rsidRPr="006433A0">
        <w:rPr>
          <w:rFonts w:cs="Calibri"/>
          <w:sz w:val="24"/>
          <w:szCs w:val="24"/>
        </w:rPr>
        <w:t xml:space="preserve"> de triamcinolone (</w:t>
      </w:r>
      <w:proofErr w:type="spellStart"/>
      <w:r w:rsidRPr="006433A0">
        <w:rPr>
          <w:rFonts w:cs="Calibri"/>
          <w:sz w:val="24"/>
          <w:szCs w:val="24"/>
        </w:rPr>
        <w:t>héxatrione</w:t>
      </w:r>
      <w:proofErr w:type="spellEnd"/>
      <w:r w:rsidRPr="006433A0">
        <w:rPr>
          <w:rFonts w:cs="Calibri"/>
          <w:sz w:val="24"/>
          <w:szCs w:val="24"/>
        </w:rPr>
        <w:t xml:space="preserve">®) : C’est le corticoïde le </w:t>
      </w:r>
    </w:p>
    <w:p w:rsidR="006433A0" w:rsidRDefault="000F70A3" w:rsidP="006433A0">
      <w:pPr>
        <w:spacing w:after="0" w:line="276" w:lineRule="auto"/>
        <w:jc w:val="both"/>
        <w:rPr>
          <w:rFonts w:cs="Calibri"/>
          <w:sz w:val="24"/>
          <w:szCs w:val="24"/>
        </w:rPr>
      </w:pPr>
      <w:r w:rsidRPr="006433A0">
        <w:rPr>
          <w:rFonts w:cs="Calibri"/>
          <w:sz w:val="24"/>
          <w:szCs w:val="24"/>
        </w:rPr>
        <w:t>Plus</w:t>
      </w:r>
      <w:r w:rsidR="006433A0" w:rsidRPr="006433A0">
        <w:rPr>
          <w:rFonts w:cs="Calibri"/>
          <w:sz w:val="24"/>
          <w:szCs w:val="24"/>
        </w:rPr>
        <w:t xml:space="preserve"> puissant.  </w:t>
      </w:r>
      <w:r w:rsidRPr="006433A0">
        <w:rPr>
          <w:rFonts w:cs="Calibri"/>
          <w:sz w:val="24"/>
          <w:szCs w:val="24"/>
        </w:rPr>
        <w:t>Action</w:t>
      </w:r>
      <w:r w:rsidR="006433A0" w:rsidRPr="006433A0">
        <w:rPr>
          <w:rFonts w:cs="Calibri"/>
          <w:sz w:val="24"/>
          <w:szCs w:val="24"/>
        </w:rPr>
        <w:t xml:space="preserve"> </w:t>
      </w:r>
      <w:proofErr w:type="spellStart"/>
      <w:r w:rsidR="006433A0" w:rsidRPr="006433A0">
        <w:rPr>
          <w:rFonts w:cs="Calibri"/>
          <w:sz w:val="24"/>
          <w:szCs w:val="24"/>
        </w:rPr>
        <w:t>atrophiante</w:t>
      </w:r>
      <w:proofErr w:type="spellEnd"/>
      <w:r w:rsidR="006433A0" w:rsidRPr="006433A0">
        <w:rPr>
          <w:rFonts w:cs="Calibri"/>
          <w:sz w:val="24"/>
          <w:szCs w:val="24"/>
        </w:rPr>
        <w:t xml:space="preserve"> sur le tissu synovial → synovectomie chimique. </w:t>
      </w:r>
    </w:p>
    <w:p w:rsidR="006433A0" w:rsidRDefault="006433A0" w:rsidP="006433A0">
      <w:pPr>
        <w:spacing w:after="0" w:line="276" w:lineRule="auto"/>
        <w:jc w:val="both"/>
        <w:rPr>
          <w:rFonts w:cs="Calibri"/>
          <w:sz w:val="24"/>
          <w:szCs w:val="24"/>
        </w:rPr>
      </w:pPr>
      <w:r w:rsidRPr="006433A0">
        <w:rPr>
          <w:rFonts w:cs="Calibri"/>
          <w:sz w:val="24"/>
          <w:szCs w:val="24"/>
        </w:rPr>
        <w:t xml:space="preserve">- Les corticoïdes semi-retard de type </w:t>
      </w:r>
      <w:proofErr w:type="spellStart"/>
      <w:r w:rsidRPr="006433A0">
        <w:rPr>
          <w:rFonts w:cs="Calibri"/>
          <w:sz w:val="24"/>
          <w:szCs w:val="24"/>
        </w:rPr>
        <w:t>cortivazol</w:t>
      </w:r>
      <w:proofErr w:type="spellEnd"/>
      <w:r w:rsidRPr="006433A0">
        <w:rPr>
          <w:rFonts w:cs="Calibri"/>
          <w:sz w:val="24"/>
          <w:szCs w:val="24"/>
        </w:rPr>
        <w:t xml:space="preserve"> (</w:t>
      </w:r>
      <w:proofErr w:type="spellStart"/>
      <w:r w:rsidRPr="006433A0">
        <w:rPr>
          <w:rFonts w:cs="Calibri"/>
          <w:sz w:val="24"/>
          <w:szCs w:val="24"/>
        </w:rPr>
        <w:t>Altim</w:t>
      </w:r>
      <w:proofErr w:type="spellEnd"/>
      <w:r w:rsidRPr="006433A0">
        <w:rPr>
          <w:rFonts w:cs="Calibri"/>
          <w:sz w:val="24"/>
          <w:szCs w:val="24"/>
        </w:rPr>
        <w:t xml:space="preserve">®), </w:t>
      </w:r>
      <w:proofErr w:type="spellStart"/>
      <w:r w:rsidRPr="006433A0">
        <w:rPr>
          <w:rFonts w:cs="Calibri"/>
          <w:sz w:val="24"/>
          <w:szCs w:val="24"/>
        </w:rPr>
        <w:t>bétaméthasone</w:t>
      </w:r>
      <w:proofErr w:type="spellEnd"/>
      <w:r w:rsidRPr="006433A0">
        <w:rPr>
          <w:rFonts w:cs="Calibri"/>
          <w:sz w:val="24"/>
          <w:szCs w:val="24"/>
        </w:rPr>
        <w:t xml:space="preserve"> (</w:t>
      </w:r>
      <w:proofErr w:type="spellStart"/>
      <w:r w:rsidRPr="006433A0">
        <w:rPr>
          <w:rFonts w:cs="Calibri"/>
          <w:sz w:val="24"/>
          <w:szCs w:val="24"/>
        </w:rPr>
        <w:t>Diprostène</w:t>
      </w:r>
      <w:proofErr w:type="spellEnd"/>
      <w:r w:rsidRPr="006433A0">
        <w:rPr>
          <w:rFonts w:cs="Calibri"/>
          <w:sz w:val="24"/>
          <w:szCs w:val="24"/>
        </w:rPr>
        <w:t xml:space="preserve">®), </w:t>
      </w:r>
      <w:proofErr w:type="spellStart"/>
      <w:r w:rsidRPr="006433A0">
        <w:rPr>
          <w:rFonts w:cs="Calibri"/>
          <w:sz w:val="24"/>
          <w:szCs w:val="24"/>
        </w:rPr>
        <w:t>méthylprednisolone</w:t>
      </w:r>
      <w:proofErr w:type="spellEnd"/>
      <w:r w:rsidRPr="006433A0">
        <w:rPr>
          <w:rFonts w:cs="Calibri"/>
          <w:sz w:val="24"/>
          <w:szCs w:val="24"/>
        </w:rPr>
        <w:t xml:space="preserve"> (</w:t>
      </w:r>
      <w:proofErr w:type="spellStart"/>
      <w:r w:rsidRPr="006433A0">
        <w:rPr>
          <w:rFonts w:cs="Calibri"/>
          <w:sz w:val="24"/>
          <w:szCs w:val="24"/>
        </w:rPr>
        <w:t>DépoMédrol</w:t>
      </w:r>
      <w:proofErr w:type="spellEnd"/>
      <w:r w:rsidRPr="006433A0">
        <w:rPr>
          <w:rFonts w:cs="Calibri"/>
          <w:sz w:val="24"/>
          <w:szCs w:val="24"/>
        </w:rPr>
        <w:t xml:space="preserve">®) ou </w:t>
      </w:r>
      <w:proofErr w:type="spellStart"/>
      <w:r w:rsidRPr="006433A0">
        <w:rPr>
          <w:rFonts w:cs="Calibri"/>
          <w:sz w:val="24"/>
          <w:szCs w:val="24"/>
        </w:rPr>
        <w:t>acétonide</w:t>
      </w:r>
      <w:proofErr w:type="spellEnd"/>
      <w:r w:rsidRPr="006433A0">
        <w:rPr>
          <w:rFonts w:cs="Calibri"/>
          <w:sz w:val="24"/>
          <w:szCs w:val="24"/>
        </w:rPr>
        <w:t xml:space="preserve"> de triamcinolone (</w:t>
      </w:r>
      <w:proofErr w:type="spellStart"/>
      <w:r w:rsidRPr="006433A0">
        <w:rPr>
          <w:rFonts w:cs="Calibri"/>
          <w:sz w:val="24"/>
          <w:szCs w:val="24"/>
        </w:rPr>
        <w:t>Kénacort</w:t>
      </w:r>
      <w:proofErr w:type="spellEnd"/>
      <w:r w:rsidRPr="006433A0">
        <w:rPr>
          <w:rFonts w:cs="Calibri"/>
          <w:sz w:val="24"/>
          <w:szCs w:val="24"/>
        </w:rPr>
        <w:t>®) sont d’efficacité moindre.</w:t>
      </w:r>
    </w:p>
    <w:p w:rsidR="006433A0" w:rsidRPr="006433A0" w:rsidRDefault="006433A0" w:rsidP="006433A0">
      <w:pPr>
        <w:spacing w:after="0" w:line="276" w:lineRule="auto"/>
        <w:jc w:val="both"/>
        <w:rPr>
          <w:rFonts w:cs="Calibri"/>
          <w:sz w:val="24"/>
          <w:szCs w:val="24"/>
        </w:rPr>
      </w:pPr>
      <w:r w:rsidRPr="006433A0">
        <w:rPr>
          <w:rFonts w:cs="Calibri"/>
          <w:sz w:val="24"/>
          <w:szCs w:val="24"/>
        </w:rPr>
        <w:t xml:space="preserve"> - Si récidive : synoviorthèse. </w:t>
      </w:r>
    </w:p>
    <w:p w:rsidR="006433A0" w:rsidRPr="00B65C8B" w:rsidRDefault="006433A0" w:rsidP="006433A0">
      <w:pPr>
        <w:spacing w:after="0" w:line="276" w:lineRule="auto"/>
        <w:jc w:val="both"/>
        <w:rPr>
          <w:rFonts w:cs="Calibri"/>
          <w:b/>
          <w:sz w:val="24"/>
          <w:szCs w:val="24"/>
        </w:rPr>
      </w:pPr>
      <w:r w:rsidRPr="006433A0">
        <w:rPr>
          <w:rFonts w:cs="Calibri"/>
          <w:b/>
          <w:bCs/>
          <w:sz w:val="24"/>
          <w:szCs w:val="24"/>
        </w:rPr>
        <w:t xml:space="preserve"> c-</w:t>
      </w:r>
      <w:r w:rsidRPr="006433A0">
        <w:rPr>
          <w:rFonts w:cs="Calibri"/>
          <w:sz w:val="24"/>
          <w:szCs w:val="24"/>
        </w:rPr>
        <w:t xml:space="preserve"> </w:t>
      </w:r>
      <w:r w:rsidRPr="00B65C8B">
        <w:rPr>
          <w:rFonts w:cs="Calibri"/>
          <w:b/>
          <w:sz w:val="24"/>
          <w:szCs w:val="24"/>
        </w:rPr>
        <w:t xml:space="preserve">Synoviorthèse :  </w:t>
      </w:r>
    </w:p>
    <w:p w:rsidR="006433A0" w:rsidRDefault="006433A0" w:rsidP="006433A0">
      <w:pPr>
        <w:spacing w:after="0" w:line="276" w:lineRule="auto"/>
        <w:jc w:val="both"/>
        <w:rPr>
          <w:rFonts w:cs="Calibri"/>
          <w:sz w:val="24"/>
          <w:szCs w:val="24"/>
        </w:rPr>
      </w:pPr>
      <w:r w:rsidRPr="006433A0">
        <w:rPr>
          <w:rFonts w:cs="Calibri"/>
          <w:sz w:val="24"/>
          <w:szCs w:val="24"/>
        </w:rPr>
        <w:t xml:space="preserve">- Principe : injecter dans l’articulation un produit chimique ou radioactif++ dans le but de détruire les synovites prolifératives voire le pannus.  </w:t>
      </w:r>
    </w:p>
    <w:p w:rsidR="006433A0" w:rsidRDefault="006433A0" w:rsidP="006433A0">
      <w:pPr>
        <w:spacing w:after="0" w:line="276" w:lineRule="auto"/>
        <w:jc w:val="both"/>
        <w:rPr>
          <w:rFonts w:ascii="Calibri" w:hAnsi="Calibri" w:cs="Calibri"/>
          <w:sz w:val="24"/>
          <w:szCs w:val="24"/>
        </w:rPr>
      </w:pPr>
      <w:r w:rsidRPr="006433A0">
        <w:rPr>
          <w:rFonts w:ascii="Calibri" w:hAnsi="Calibri" w:cs="Calibri"/>
          <w:b/>
          <w:bCs/>
          <w:sz w:val="24"/>
          <w:szCs w:val="24"/>
        </w:rPr>
        <w:t>d-</w:t>
      </w:r>
      <w:r w:rsidRPr="006433A0">
        <w:rPr>
          <w:rFonts w:ascii="Calibri" w:hAnsi="Calibri" w:cs="Calibri"/>
          <w:sz w:val="24"/>
          <w:szCs w:val="24"/>
        </w:rPr>
        <w:t xml:space="preserve">Synovectomie sous arthroscopie : au genou, si échec de la synoviorthèse.  </w:t>
      </w:r>
    </w:p>
    <w:p w:rsidR="00B65C8B" w:rsidRDefault="00B65C8B" w:rsidP="006433A0">
      <w:pPr>
        <w:spacing w:after="0" w:line="276" w:lineRule="auto"/>
        <w:jc w:val="both"/>
        <w:rPr>
          <w:rFonts w:cs="Calibri"/>
          <w:b/>
          <w:bCs/>
          <w:sz w:val="28"/>
          <w:szCs w:val="24"/>
        </w:rPr>
      </w:pPr>
    </w:p>
    <w:p w:rsidR="006433A0" w:rsidRPr="004D1E41" w:rsidRDefault="006433A0" w:rsidP="006433A0">
      <w:pPr>
        <w:spacing w:after="0" w:line="276" w:lineRule="auto"/>
        <w:jc w:val="both"/>
        <w:rPr>
          <w:rFonts w:cs="Calibri"/>
          <w:b/>
          <w:bCs/>
          <w:sz w:val="28"/>
          <w:szCs w:val="24"/>
        </w:rPr>
      </w:pPr>
      <w:r w:rsidRPr="004D1E41">
        <w:rPr>
          <w:rFonts w:cs="Calibri"/>
          <w:b/>
          <w:bCs/>
          <w:sz w:val="28"/>
          <w:szCs w:val="24"/>
        </w:rPr>
        <w:t xml:space="preserve">4- Rééducation fonctionnelle : </w:t>
      </w:r>
    </w:p>
    <w:p w:rsidR="006433A0" w:rsidRDefault="006433A0" w:rsidP="006433A0">
      <w:pPr>
        <w:spacing w:after="0" w:line="276" w:lineRule="auto"/>
        <w:jc w:val="both"/>
        <w:rPr>
          <w:rFonts w:cs="Calibri"/>
          <w:sz w:val="24"/>
          <w:szCs w:val="24"/>
        </w:rPr>
      </w:pPr>
      <w:r w:rsidRPr="006433A0">
        <w:rPr>
          <w:rFonts w:cs="Calibri"/>
          <w:sz w:val="24"/>
          <w:szCs w:val="24"/>
        </w:rPr>
        <w:t xml:space="preserve">- Elle fait partie intégrante du traitement de la PR. </w:t>
      </w:r>
    </w:p>
    <w:p w:rsidR="006433A0" w:rsidRDefault="006433A0" w:rsidP="006433A0">
      <w:pPr>
        <w:spacing w:after="0" w:line="276" w:lineRule="auto"/>
        <w:jc w:val="both"/>
        <w:rPr>
          <w:rFonts w:cs="Calibri"/>
          <w:sz w:val="24"/>
          <w:szCs w:val="24"/>
        </w:rPr>
      </w:pPr>
      <w:r w:rsidRPr="006433A0">
        <w:rPr>
          <w:rFonts w:cs="Calibri"/>
          <w:sz w:val="24"/>
          <w:szCs w:val="24"/>
        </w:rPr>
        <w:t xml:space="preserve">- Indiquée à tous les stades de la maladie.  </w:t>
      </w:r>
    </w:p>
    <w:p w:rsidR="006433A0" w:rsidRDefault="00B65C8B" w:rsidP="006433A0">
      <w:pPr>
        <w:spacing w:after="0" w:line="276" w:lineRule="auto"/>
        <w:jc w:val="both"/>
        <w:rPr>
          <w:rFonts w:cs="Calibri"/>
          <w:sz w:val="24"/>
          <w:szCs w:val="24"/>
        </w:rPr>
      </w:pPr>
      <w:r>
        <w:rPr>
          <w:rFonts w:cs="Calibri"/>
          <w:sz w:val="24"/>
          <w:szCs w:val="24"/>
        </w:rPr>
        <w:t xml:space="preserve">- </w:t>
      </w:r>
      <w:r w:rsidR="006433A0" w:rsidRPr="006433A0">
        <w:rPr>
          <w:rFonts w:cs="Calibri"/>
          <w:sz w:val="24"/>
          <w:szCs w:val="24"/>
        </w:rPr>
        <w:t xml:space="preserve">Objectifs : limiter les déformations, entretenir la </w:t>
      </w:r>
      <w:proofErr w:type="spellStart"/>
      <w:r w:rsidR="006433A0" w:rsidRPr="006433A0">
        <w:rPr>
          <w:rFonts w:cs="Calibri"/>
          <w:sz w:val="24"/>
          <w:szCs w:val="24"/>
        </w:rPr>
        <w:t>trophicité</w:t>
      </w:r>
      <w:proofErr w:type="spellEnd"/>
      <w:r w:rsidR="006433A0" w:rsidRPr="006433A0">
        <w:rPr>
          <w:rFonts w:cs="Calibri"/>
          <w:sz w:val="24"/>
          <w:szCs w:val="24"/>
        </w:rPr>
        <w:t xml:space="preserve"> musculaire et la mobilité articulaire, maintenir une vie aussi normale que possible. </w:t>
      </w:r>
    </w:p>
    <w:p w:rsidR="006433A0" w:rsidRDefault="006433A0" w:rsidP="006433A0">
      <w:pPr>
        <w:spacing w:after="0" w:line="276" w:lineRule="auto"/>
        <w:jc w:val="both"/>
        <w:rPr>
          <w:rFonts w:cs="Calibri"/>
          <w:sz w:val="24"/>
          <w:szCs w:val="24"/>
        </w:rPr>
      </w:pPr>
      <w:r w:rsidRPr="006433A0">
        <w:rPr>
          <w:rFonts w:cs="Calibri"/>
          <w:b/>
          <w:bCs/>
          <w:sz w:val="24"/>
          <w:szCs w:val="24"/>
        </w:rPr>
        <w:t xml:space="preserve"> a-</w:t>
      </w:r>
      <w:r w:rsidR="00B65C8B">
        <w:rPr>
          <w:rFonts w:cs="Calibri"/>
          <w:sz w:val="24"/>
          <w:szCs w:val="24"/>
        </w:rPr>
        <w:t xml:space="preserve"> E</w:t>
      </w:r>
      <w:r w:rsidRPr="006433A0">
        <w:rPr>
          <w:rFonts w:cs="Calibri"/>
          <w:sz w:val="24"/>
          <w:szCs w:val="24"/>
        </w:rPr>
        <w:t xml:space="preserve">ducation et information du malade : </w:t>
      </w:r>
    </w:p>
    <w:p w:rsidR="006433A0" w:rsidRDefault="006433A0" w:rsidP="006433A0">
      <w:pPr>
        <w:spacing w:after="0" w:line="276" w:lineRule="auto"/>
        <w:jc w:val="both"/>
        <w:rPr>
          <w:rFonts w:cs="Calibri"/>
          <w:sz w:val="24"/>
          <w:szCs w:val="24"/>
        </w:rPr>
      </w:pPr>
      <w:r w:rsidRPr="006433A0">
        <w:rPr>
          <w:rFonts w:cs="Calibri"/>
          <w:sz w:val="24"/>
          <w:szCs w:val="24"/>
        </w:rPr>
        <w:t xml:space="preserve"> - Doivent être personnalisées. </w:t>
      </w:r>
    </w:p>
    <w:p w:rsidR="006433A0" w:rsidRDefault="006433A0" w:rsidP="006433A0">
      <w:pPr>
        <w:spacing w:after="0" w:line="276" w:lineRule="auto"/>
        <w:jc w:val="both"/>
        <w:rPr>
          <w:rFonts w:cs="Calibri"/>
          <w:sz w:val="24"/>
          <w:szCs w:val="24"/>
        </w:rPr>
      </w:pPr>
      <w:r w:rsidRPr="006433A0">
        <w:rPr>
          <w:rFonts w:cs="Calibri"/>
          <w:sz w:val="24"/>
          <w:szCs w:val="24"/>
        </w:rPr>
        <w:t xml:space="preserve"> - Education gestuelle (apprendre les gestes à éviter) </w:t>
      </w:r>
    </w:p>
    <w:p w:rsidR="006433A0" w:rsidRDefault="006433A0" w:rsidP="006433A0">
      <w:pPr>
        <w:spacing w:after="0" w:line="276" w:lineRule="auto"/>
        <w:jc w:val="both"/>
        <w:rPr>
          <w:rFonts w:cs="Calibri"/>
          <w:sz w:val="24"/>
          <w:szCs w:val="24"/>
        </w:rPr>
      </w:pPr>
      <w:r w:rsidRPr="006433A0">
        <w:rPr>
          <w:rFonts w:cs="Calibri"/>
          <w:sz w:val="24"/>
          <w:szCs w:val="24"/>
        </w:rPr>
        <w:t xml:space="preserve">- La mise en situation du patient dans un appartement thérapeutique est utile. </w:t>
      </w:r>
    </w:p>
    <w:p w:rsidR="006433A0" w:rsidRDefault="006433A0" w:rsidP="006433A0">
      <w:pPr>
        <w:spacing w:after="0" w:line="276" w:lineRule="auto"/>
        <w:jc w:val="both"/>
        <w:rPr>
          <w:rFonts w:cs="Calibri"/>
          <w:sz w:val="24"/>
          <w:szCs w:val="24"/>
        </w:rPr>
      </w:pPr>
      <w:r w:rsidRPr="006433A0">
        <w:rPr>
          <w:rFonts w:cs="Calibri"/>
          <w:sz w:val="24"/>
          <w:szCs w:val="24"/>
        </w:rPr>
        <w:t xml:space="preserve"> - Aides techniques ++. </w:t>
      </w:r>
    </w:p>
    <w:p w:rsidR="006433A0" w:rsidRDefault="006433A0" w:rsidP="006433A0">
      <w:pPr>
        <w:spacing w:after="0" w:line="276" w:lineRule="auto"/>
        <w:jc w:val="both"/>
        <w:rPr>
          <w:rFonts w:cs="Calibri"/>
          <w:sz w:val="24"/>
          <w:szCs w:val="24"/>
        </w:rPr>
      </w:pPr>
      <w:r>
        <w:rPr>
          <w:rFonts w:cs="Calibri"/>
          <w:sz w:val="24"/>
          <w:szCs w:val="24"/>
        </w:rPr>
        <w:t xml:space="preserve"> </w:t>
      </w:r>
      <w:r w:rsidRPr="006433A0">
        <w:rPr>
          <w:rFonts w:cs="Calibri"/>
          <w:b/>
          <w:bCs/>
          <w:sz w:val="24"/>
          <w:szCs w:val="24"/>
        </w:rPr>
        <w:t>b</w:t>
      </w:r>
      <w:r w:rsidRPr="006433A0">
        <w:rPr>
          <w:rFonts w:cs="Calibri"/>
          <w:sz w:val="24"/>
          <w:szCs w:val="24"/>
        </w:rPr>
        <w:t xml:space="preserve">- appareillages :  </w:t>
      </w:r>
    </w:p>
    <w:p w:rsidR="006433A0" w:rsidRDefault="006433A0" w:rsidP="006433A0">
      <w:pPr>
        <w:spacing w:after="0" w:line="276" w:lineRule="auto"/>
        <w:jc w:val="both"/>
        <w:rPr>
          <w:rFonts w:cs="Calibri"/>
          <w:sz w:val="24"/>
          <w:szCs w:val="24"/>
        </w:rPr>
      </w:pPr>
      <w:r w:rsidRPr="006433A0">
        <w:rPr>
          <w:rFonts w:cs="Calibri"/>
          <w:sz w:val="24"/>
          <w:szCs w:val="24"/>
        </w:rPr>
        <w:t xml:space="preserve">- Prévention des déformations. </w:t>
      </w:r>
    </w:p>
    <w:p w:rsidR="006433A0" w:rsidRDefault="006433A0" w:rsidP="006433A0">
      <w:pPr>
        <w:spacing w:after="0" w:line="276" w:lineRule="auto"/>
        <w:jc w:val="both"/>
        <w:rPr>
          <w:rFonts w:cs="Calibri"/>
          <w:sz w:val="24"/>
          <w:szCs w:val="24"/>
        </w:rPr>
      </w:pPr>
      <w:r w:rsidRPr="006433A0">
        <w:rPr>
          <w:rFonts w:cs="Calibri"/>
          <w:sz w:val="24"/>
          <w:szCs w:val="24"/>
        </w:rPr>
        <w:t xml:space="preserve"> - Appareillage de repos amovible (genoux, chevilles, mains, poignets) porté la nuit surtout au moment des poussées, mais pas en permanence (risque d’enraidissement articulaire)</w:t>
      </w:r>
    </w:p>
    <w:p w:rsidR="006433A0" w:rsidRDefault="006433A0" w:rsidP="006433A0">
      <w:pPr>
        <w:spacing w:after="0" w:line="276" w:lineRule="auto"/>
        <w:jc w:val="both"/>
        <w:rPr>
          <w:rFonts w:cs="Calibri"/>
          <w:sz w:val="24"/>
          <w:szCs w:val="24"/>
        </w:rPr>
      </w:pPr>
      <w:r w:rsidRPr="006433A0">
        <w:rPr>
          <w:rFonts w:cs="Calibri"/>
          <w:sz w:val="24"/>
          <w:szCs w:val="24"/>
        </w:rPr>
        <w:t xml:space="preserve"> - Orthèses plantaires ou de chaussage. </w:t>
      </w:r>
    </w:p>
    <w:p w:rsidR="006433A0" w:rsidRDefault="006433A0" w:rsidP="006433A0">
      <w:pPr>
        <w:spacing w:after="0" w:line="276" w:lineRule="auto"/>
        <w:jc w:val="both"/>
        <w:rPr>
          <w:rFonts w:cs="Calibri"/>
          <w:sz w:val="24"/>
          <w:szCs w:val="24"/>
        </w:rPr>
      </w:pPr>
      <w:r w:rsidRPr="006433A0">
        <w:rPr>
          <w:rFonts w:cs="Calibri"/>
          <w:sz w:val="24"/>
          <w:szCs w:val="24"/>
        </w:rPr>
        <w:lastRenderedPageBreak/>
        <w:t xml:space="preserve"> - Cannes. </w:t>
      </w:r>
    </w:p>
    <w:p w:rsidR="006433A0" w:rsidRDefault="006433A0" w:rsidP="006433A0">
      <w:pPr>
        <w:spacing w:after="0" w:line="276" w:lineRule="auto"/>
        <w:jc w:val="both"/>
        <w:rPr>
          <w:rFonts w:cs="Calibri"/>
          <w:sz w:val="24"/>
          <w:szCs w:val="24"/>
        </w:rPr>
      </w:pPr>
      <w:r w:rsidRPr="006433A0">
        <w:rPr>
          <w:rFonts w:cs="Calibri"/>
          <w:b/>
          <w:bCs/>
          <w:sz w:val="24"/>
          <w:szCs w:val="24"/>
        </w:rPr>
        <w:t>c-</w:t>
      </w:r>
      <w:r w:rsidRPr="006433A0">
        <w:rPr>
          <w:rFonts w:cs="Calibri"/>
          <w:sz w:val="24"/>
          <w:szCs w:val="24"/>
        </w:rPr>
        <w:t xml:space="preserve"> rééducation fonctionnelle proprement dite : </w:t>
      </w:r>
    </w:p>
    <w:p w:rsidR="006433A0" w:rsidRDefault="006433A0" w:rsidP="006433A0">
      <w:pPr>
        <w:spacing w:after="0" w:line="276" w:lineRule="auto"/>
        <w:jc w:val="both"/>
        <w:rPr>
          <w:rFonts w:cs="Calibri"/>
          <w:sz w:val="24"/>
          <w:szCs w:val="24"/>
        </w:rPr>
      </w:pPr>
      <w:r w:rsidRPr="006433A0">
        <w:rPr>
          <w:rFonts w:cs="Calibri"/>
          <w:sz w:val="24"/>
          <w:szCs w:val="24"/>
        </w:rPr>
        <w:t xml:space="preserve"> - </w:t>
      </w:r>
      <w:proofErr w:type="spellStart"/>
      <w:r w:rsidRPr="006433A0">
        <w:rPr>
          <w:rFonts w:cs="Calibri"/>
          <w:sz w:val="24"/>
          <w:szCs w:val="24"/>
        </w:rPr>
        <w:t>PrécoceÎ</w:t>
      </w:r>
      <w:proofErr w:type="spellEnd"/>
      <w:r w:rsidRPr="006433A0">
        <w:rPr>
          <w:rFonts w:cs="Calibri"/>
          <w:sz w:val="24"/>
          <w:szCs w:val="24"/>
        </w:rPr>
        <w:t xml:space="preserve"> prévention des enraidissements et déformations. </w:t>
      </w:r>
    </w:p>
    <w:p w:rsidR="006433A0" w:rsidRDefault="006433A0" w:rsidP="006433A0">
      <w:pPr>
        <w:spacing w:after="0" w:line="276" w:lineRule="auto"/>
        <w:jc w:val="both"/>
        <w:rPr>
          <w:rFonts w:cs="Calibri"/>
          <w:sz w:val="24"/>
          <w:szCs w:val="24"/>
        </w:rPr>
      </w:pPr>
      <w:r w:rsidRPr="006433A0">
        <w:rPr>
          <w:rFonts w:cs="Calibri"/>
          <w:sz w:val="24"/>
          <w:szCs w:val="24"/>
        </w:rPr>
        <w:t xml:space="preserve"> - </w:t>
      </w:r>
      <w:proofErr w:type="spellStart"/>
      <w:r w:rsidRPr="006433A0">
        <w:rPr>
          <w:rFonts w:cs="Calibri"/>
          <w:sz w:val="24"/>
          <w:szCs w:val="24"/>
        </w:rPr>
        <w:t>TardiveÎ</w:t>
      </w:r>
      <w:proofErr w:type="spellEnd"/>
      <w:r w:rsidRPr="006433A0">
        <w:rPr>
          <w:rFonts w:cs="Calibri"/>
          <w:sz w:val="24"/>
          <w:szCs w:val="24"/>
        </w:rPr>
        <w:t xml:space="preserve"> correction. </w:t>
      </w:r>
    </w:p>
    <w:p w:rsidR="006433A0" w:rsidRDefault="006433A0" w:rsidP="006433A0">
      <w:pPr>
        <w:spacing w:after="0" w:line="276" w:lineRule="auto"/>
        <w:jc w:val="both"/>
        <w:rPr>
          <w:rFonts w:cs="Calibri"/>
          <w:sz w:val="24"/>
          <w:szCs w:val="24"/>
        </w:rPr>
      </w:pPr>
      <w:r w:rsidRPr="006433A0">
        <w:rPr>
          <w:rFonts w:cs="Calibri"/>
          <w:sz w:val="24"/>
          <w:szCs w:val="24"/>
        </w:rPr>
        <w:t xml:space="preserve"> - Elle doit être personnalisée et constamment modulée en fonction de l’état articulaire et de l’évolution. </w:t>
      </w:r>
    </w:p>
    <w:p w:rsidR="006433A0" w:rsidRDefault="006433A0" w:rsidP="006433A0">
      <w:pPr>
        <w:spacing w:after="0" w:line="276" w:lineRule="auto"/>
        <w:jc w:val="both"/>
        <w:rPr>
          <w:rFonts w:cs="Calibri"/>
          <w:sz w:val="24"/>
          <w:szCs w:val="24"/>
        </w:rPr>
      </w:pPr>
      <w:r w:rsidRPr="006433A0">
        <w:rPr>
          <w:rFonts w:cs="Calibri"/>
          <w:sz w:val="24"/>
          <w:szCs w:val="24"/>
        </w:rPr>
        <w:t xml:space="preserve"> - Elle doit être douce, indolore, globale, passive ou active. </w:t>
      </w:r>
    </w:p>
    <w:p w:rsidR="006433A0" w:rsidRDefault="006433A0" w:rsidP="006433A0">
      <w:pPr>
        <w:spacing w:after="0" w:line="276" w:lineRule="auto"/>
        <w:jc w:val="both"/>
        <w:rPr>
          <w:rFonts w:cs="Calibri"/>
          <w:sz w:val="24"/>
          <w:szCs w:val="24"/>
        </w:rPr>
      </w:pPr>
      <w:r w:rsidRPr="006433A0">
        <w:rPr>
          <w:rFonts w:cs="Calibri"/>
          <w:sz w:val="24"/>
          <w:szCs w:val="24"/>
        </w:rPr>
        <w:t xml:space="preserve"> - Fangothérapie, balnéothérapie, </w:t>
      </w:r>
      <w:proofErr w:type="spellStart"/>
      <w:r w:rsidRPr="006433A0">
        <w:rPr>
          <w:rFonts w:cs="Calibri"/>
          <w:sz w:val="24"/>
          <w:szCs w:val="24"/>
        </w:rPr>
        <w:t>paraffinothérapie</w:t>
      </w:r>
      <w:proofErr w:type="spellEnd"/>
      <w:r w:rsidRPr="006433A0">
        <w:rPr>
          <w:rFonts w:cs="Calibri"/>
          <w:sz w:val="24"/>
          <w:szCs w:val="24"/>
        </w:rPr>
        <w:t xml:space="preserve">. </w:t>
      </w:r>
    </w:p>
    <w:p w:rsidR="006433A0" w:rsidRPr="006433A0" w:rsidRDefault="006433A0" w:rsidP="006433A0">
      <w:pPr>
        <w:spacing w:after="0" w:line="276" w:lineRule="auto"/>
        <w:jc w:val="both"/>
        <w:rPr>
          <w:rFonts w:cs="Calibri"/>
          <w:sz w:val="24"/>
          <w:szCs w:val="24"/>
        </w:rPr>
      </w:pPr>
      <w:r w:rsidRPr="006433A0">
        <w:rPr>
          <w:rFonts w:cs="Calibri"/>
          <w:sz w:val="24"/>
          <w:szCs w:val="24"/>
        </w:rPr>
        <w:t xml:space="preserve"> - Drainages lymphatiques, massages, relaxation : utiles.  </w:t>
      </w:r>
    </w:p>
    <w:p w:rsidR="006433A0" w:rsidRPr="006433A0" w:rsidRDefault="006433A0" w:rsidP="006433A0">
      <w:pPr>
        <w:spacing w:after="0" w:line="276" w:lineRule="auto"/>
        <w:jc w:val="both"/>
        <w:rPr>
          <w:rFonts w:cs="Calibri"/>
          <w:b/>
          <w:bCs/>
          <w:sz w:val="24"/>
          <w:szCs w:val="24"/>
        </w:rPr>
      </w:pPr>
      <w:r>
        <w:rPr>
          <w:rFonts w:cs="Calibri"/>
          <w:sz w:val="24"/>
          <w:szCs w:val="24"/>
        </w:rPr>
        <w:t xml:space="preserve"> </w:t>
      </w:r>
      <w:r w:rsidRPr="006433A0">
        <w:rPr>
          <w:rFonts w:cs="Calibri"/>
          <w:b/>
          <w:bCs/>
          <w:sz w:val="24"/>
          <w:szCs w:val="24"/>
        </w:rPr>
        <w:t xml:space="preserve">5- Traitement chirurgical :  </w:t>
      </w:r>
    </w:p>
    <w:p w:rsidR="006433A0" w:rsidRDefault="006433A0" w:rsidP="006433A0">
      <w:pPr>
        <w:spacing w:after="0" w:line="276" w:lineRule="auto"/>
        <w:jc w:val="both"/>
        <w:rPr>
          <w:rFonts w:cs="Calibri"/>
          <w:sz w:val="24"/>
          <w:szCs w:val="24"/>
        </w:rPr>
      </w:pPr>
      <w:r w:rsidRPr="006433A0">
        <w:rPr>
          <w:rFonts w:cs="Calibri"/>
          <w:sz w:val="24"/>
          <w:szCs w:val="24"/>
        </w:rPr>
        <w:t xml:space="preserve">- Objectif : supprimer la douleur, correction des </w:t>
      </w:r>
      <w:proofErr w:type="spellStart"/>
      <w:r w:rsidRPr="006433A0">
        <w:rPr>
          <w:rFonts w:cs="Calibri"/>
          <w:sz w:val="24"/>
          <w:szCs w:val="24"/>
        </w:rPr>
        <w:t>désaxations</w:t>
      </w:r>
      <w:proofErr w:type="spellEnd"/>
      <w:r w:rsidRPr="006433A0">
        <w:rPr>
          <w:rFonts w:cs="Calibri"/>
          <w:sz w:val="24"/>
          <w:szCs w:val="24"/>
        </w:rPr>
        <w:t xml:space="preserve">, restauration de la fonction. </w:t>
      </w:r>
    </w:p>
    <w:p w:rsidR="006433A0" w:rsidRDefault="006433A0" w:rsidP="006433A0">
      <w:pPr>
        <w:spacing w:after="0" w:line="276" w:lineRule="auto"/>
        <w:jc w:val="both"/>
        <w:rPr>
          <w:rFonts w:cs="Calibri"/>
          <w:sz w:val="24"/>
          <w:szCs w:val="24"/>
        </w:rPr>
      </w:pPr>
      <w:r w:rsidRPr="006433A0">
        <w:rPr>
          <w:rFonts w:cs="Calibri"/>
          <w:sz w:val="24"/>
          <w:szCs w:val="24"/>
        </w:rPr>
        <w:t xml:space="preserve"> - Doit être suivi de rééducation fonctionnelle. </w:t>
      </w:r>
    </w:p>
    <w:p w:rsidR="006433A0" w:rsidRDefault="006433A0" w:rsidP="006433A0">
      <w:pPr>
        <w:spacing w:after="0" w:line="276" w:lineRule="auto"/>
        <w:jc w:val="both"/>
        <w:rPr>
          <w:rFonts w:cs="Calibri"/>
          <w:sz w:val="24"/>
          <w:szCs w:val="24"/>
        </w:rPr>
      </w:pPr>
      <w:r w:rsidRPr="006433A0">
        <w:rPr>
          <w:rFonts w:cs="Calibri"/>
          <w:b/>
          <w:bCs/>
          <w:sz w:val="24"/>
          <w:szCs w:val="24"/>
        </w:rPr>
        <w:t>a -</w:t>
      </w:r>
      <w:r w:rsidRPr="006433A0">
        <w:rPr>
          <w:rFonts w:cs="Calibri"/>
          <w:sz w:val="24"/>
          <w:szCs w:val="24"/>
        </w:rPr>
        <w:t xml:space="preserve"> Chirurgie de la main et de l’avant-pied : pour corriger les déformations (ex : réalignement des orteils).</w:t>
      </w:r>
    </w:p>
    <w:p w:rsidR="006433A0" w:rsidRDefault="006433A0" w:rsidP="006433A0">
      <w:pPr>
        <w:spacing w:after="0" w:line="276" w:lineRule="auto"/>
        <w:jc w:val="both"/>
        <w:rPr>
          <w:rFonts w:cs="Calibri"/>
          <w:sz w:val="24"/>
          <w:szCs w:val="24"/>
        </w:rPr>
      </w:pPr>
      <w:r w:rsidRPr="006433A0">
        <w:rPr>
          <w:rFonts w:cs="Calibri"/>
          <w:b/>
          <w:bCs/>
          <w:sz w:val="24"/>
          <w:szCs w:val="24"/>
        </w:rPr>
        <w:t>b-</w:t>
      </w:r>
      <w:r w:rsidRPr="006433A0">
        <w:rPr>
          <w:rFonts w:cs="Calibri"/>
          <w:sz w:val="24"/>
          <w:szCs w:val="24"/>
        </w:rPr>
        <w:t xml:space="preserve">Prothèse totale : hanche, genou, épaule. Si ankylose.  </w:t>
      </w:r>
    </w:p>
    <w:p w:rsidR="006433A0" w:rsidRDefault="006433A0" w:rsidP="006433A0">
      <w:pPr>
        <w:spacing w:after="0" w:line="276" w:lineRule="auto"/>
        <w:jc w:val="both"/>
        <w:rPr>
          <w:rFonts w:cs="Calibri"/>
          <w:sz w:val="24"/>
          <w:szCs w:val="24"/>
        </w:rPr>
      </w:pPr>
      <w:r w:rsidRPr="006433A0">
        <w:rPr>
          <w:rFonts w:cs="Calibri"/>
          <w:b/>
          <w:bCs/>
          <w:sz w:val="24"/>
          <w:szCs w:val="24"/>
        </w:rPr>
        <w:t>c-</w:t>
      </w:r>
      <w:r w:rsidRPr="006433A0">
        <w:rPr>
          <w:rFonts w:cs="Calibri"/>
          <w:sz w:val="24"/>
          <w:szCs w:val="24"/>
        </w:rPr>
        <w:t xml:space="preserve"> Intervention sur le rachis cervical: si douleurs importantes ou signes neurologiques de compression. Cerclage ou autogreffe osseuse avec minerve jusqu’à consolidation.</w:t>
      </w:r>
    </w:p>
    <w:p w:rsidR="008E6DBE" w:rsidRDefault="008E6DBE" w:rsidP="006433A0">
      <w:pPr>
        <w:spacing w:after="0" w:line="276" w:lineRule="auto"/>
        <w:jc w:val="both"/>
        <w:rPr>
          <w:rFonts w:cs="Calibri"/>
          <w:b/>
          <w:bCs/>
          <w:sz w:val="24"/>
          <w:szCs w:val="24"/>
        </w:rPr>
      </w:pPr>
    </w:p>
    <w:p w:rsidR="008E6DBE" w:rsidRDefault="008E6DBE" w:rsidP="006433A0">
      <w:pPr>
        <w:spacing w:after="0" w:line="276" w:lineRule="auto"/>
        <w:jc w:val="both"/>
        <w:rPr>
          <w:rFonts w:cs="Calibri"/>
          <w:b/>
          <w:bCs/>
          <w:sz w:val="24"/>
          <w:szCs w:val="24"/>
        </w:rPr>
      </w:pPr>
      <w:r w:rsidRPr="008E6DBE">
        <w:rPr>
          <w:rFonts w:cs="Calibri"/>
          <w:b/>
          <w:bCs/>
          <w:sz w:val="24"/>
          <w:szCs w:val="24"/>
        </w:rPr>
        <w:t xml:space="preserve">6-Prise en charge de </w:t>
      </w:r>
      <w:proofErr w:type="spellStart"/>
      <w:r w:rsidRPr="008E6DBE">
        <w:rPr>
          <w:rFonts w:cs="Calibri"/>
          <w:b/>
          <w:bCs/>
          <w:sz w:val="24"/>
          <w:szCs w:val="24"/>
        </w:rPr>
        <w:t>comorbidites</w:t>
      </w:r>
      <w:proofErr w:type="spellEnd"/>
      <w:r w:rsidRPr="008E6DBE">
        <w:rPr>
          <w:rFonts w:cs="Calibri"/>
          <w:b/>
          <w:bCs/>
          <w:sz w:val="24"/>
          <w:szCs w:val="24"/>
        </w:rPr>
        <w:t xml:space="preserve"> et des risques iatrogènes :</w:t>
      </w:r>
    </w:p>
    <w:p w:rsidR="008E6DBE" w:rsidRPr="008E6DBE" w:rsidRDefault="008E6DBE" w:rsidP="006433A0">
      <w:pPr>
        <w:spacing w:after="0" w:line="276" w:lineRule="auto"/>
        <w:jc w:val="both"/>
        <w:rPr>
          <w:rFonts w:cs="Calibri"/>
          <w:sz w:val="24"/>
          <w:szCs w:val="24"/>
        </w:rPr>
      </w:pPr>
      <w:r>
        <w:rPr>
          <w:rFonts w:cs="Calibri"/>
          <w:b/>
          <w:bCs/>
          <w:sz w:val="24"/>
          <w:szCs w:val="24"/>
        </w:rPr>
        <w:t>a-</w:t>
      </w:r>
      <w:r w:rsidRPr="008E6DBE">
        <w:rPr>
          <w:rFonts w:cs="Calibri"/>
          <w:sz w:val="24"/>
          <w:szCs w:val="24"/>
        </w:rPr>
        <w:t>Prévention du risque cardio-vasculaire : il faut la dose minimale efficace, arrêt du tabac</w:t>
      </w:r>
      <w:r>
        <w:rPr>
          <w:rFonts w:cs="Calibri"/>
          <w:sz w:val="24"/>
          <w:szCs w:val="24"/>
        </w:rPr>
        <w:t>,</w:t>
      </w:r>
      <w:r w:rsidRPr="008E6DBE">
        <w:rPr>
          <w:rFonts w:cs="Calibri"/>
          <w:sz w:val="24"/>
          <w:szCs w:val="24"/>
        </w:rPr>
        <w:t xml:space="preserve"> contrôle d’un diabète, d’une HTA ou d’une hyperlipémie</w:t>
      </w:r>
    </w:p>
    <w:p w:rsidR="008E6DBE" w:rsidRDefault="008E6DBE" w:rsidP="006433A0">
      <w:pPr>
        <w:spacing w:after="0" w:line="276" w:lineRule="auto"/>
        <w:jc w:val="both"/>
        <w:rPr>
          <w:rFonts w:cs="Calibri"/>
          <w:sz w:val="24"/>
          <w:szCs w:val="24"/>
        </w:rPr>
      </w:pPr>
      <w:r w:rsidRPr="008E6DBE">
        <w:rPr>
          <w:rFonts w:cs="Calibri"/>
          <w:sz w:val="24"/>
          <w:szCs w:val="24"/>
        </w:rPr>
        <w:t>Mesure d’hygiène de vie pour lutter contre l’obésité et la sédentarité.</w:t>
      </w:r>
    </w:p>
    <w:p w:rsidR="008E6DBE" w:rsidRDefault="008E6DBE" w:rsidP="006433A0">
      <w:pPr>
        <w:spacing w:after="0" w:line="276" w:lineRule="auto"/>
        <w:jc w:val="both"/>
        <w:rPr>
          <w:rFonts w:cs="Calibri"/>
          <w:sz w:val="24"/>
          <w:szCs w:val="24"/>
        </w:rPr>
      </w:pPr>
      <w:r w:rsidRPr="008E6DBE">
        <w:rPr>
          <w:rFonts w:cs="Calibri"/>
          <w:b/>
          <w:bCs/>
          <w:sz w:val="24"/>
          <w:szCs w:val="24"/>
        </w:rPr>
        <w:t>b</w:t>
      </w:r>
      <w:r>
        <w:rPr>
          <w:rFonts w:cs="Calibri"/>
          <w:sz w:val="24"/>
          <w:szCs w:val="24"/>
        </w:rPr>
        <w:t>-Prévention des risques infectieux : Surveillance étroite des traitements de fond et des biothérapies, traitements des portes d’entrée infectieuse, mise à jour des vaccinations.</w:t>
      </w:r>
    </w:p>
    <w:p w:rsidR="008E6DBE" w:rsidRPr="008E6DBE" w:rsidRDefault="008E6DBE" w:rsidP="006433A0">
      <w:pPr>
        <w:spacing w:after="0" w:line="276" w:lineRule="auto"/>
        <w:jc w:val="both"/>
        <w:rPr>
          <w:rFonts w:cs="Calibri"/>
          <w:sz w:val="24"/>
          <w:szCs w:val="24"/>
        </w:rPr>
      </w:pPr>
      <w:r w:rsidRPr="008E6DBE">
        <w:rPr>
          <w:rFonts w:cs="Calibri"/>
          <w:b/>
          <w:bCs/>
          <w:sz w:val="24"/>
          <w:szCs w:val="24"/>
        </w:rPr>
        <w:t>c</w:t>
      </w:r>
      <w:r>
        <w:rPr>
          <w:rFonts w:cs="Calibri"/>
          <w:sz w:val="24"/>
          <w:szCs w:val="24"/>
        </w:rPr>
        <w:t xml:space="preserve">-Prévention du risque ostéoporotique : supplémentation </w:t>
      </w:r>
      <w:proofErr w:type="spellStart"/>
      <w:r>
        <w:rPr>
          <w:rFonts w:cs="Calibri"/>
          <w:sz w:val="24"/>
          <w:szCs w:val="24"/>
        </w:rPr>
        <w:t>vitamino</w:t>
      </w:r>
      <w:proofErr w:type="spellEnd"/>
      <w:r>
        <w:rPr>
          <w:rFonts w:cs="Calibri"/>
          <w:sz w:val="24"/>
          <w:szCs w:val="24"/>
        </w:rPr>
        <w:t>-calcique et/ou traitement anti-ostéoporotique.</w:t>
      </w:r>
    </w:p>
    <w:p w:rsidR="00562AE0" w:rsidRDefault="00562AE0" w:rsidP="008E6DBE">
      <w:pPr>
        <w:spacing w:after="0" w:line="276" w:lineRule="auto"/>
        <w:jc w:val="both"/>
        <w:rPr>
          <w:rFonts w:cs="Calibri"/>
          <w:color w:val="FF0000"/>
          <w:sz w:val="28"/>
          <w:szCs w:val="28"/>
        </w:rPr>
      </w:pPr>
    </w:p>
    <w:p w:rsidR="000F70A3" w:rsidRPr="00562AE0" w:rsidRDefault="000F70A3" w:rsidP="008E6DBE">
      <w:pPr>
        <w:spacing w:after="0" w:line="276" w:lineRule="auto"/>
        <w:jc w:val="both"/>
        <w:rPr>
          <w:rFonts w:cs="Calibri"/>
          <w:color w:val="FF0000"/>
          <w:sz w:val="28"/>
          <w:szCs w:val="28"/>
        </w:rPr>
      </w:pPr>
      <w:r w:rsidRPr="004D1E41">
        <w:rPr>
          <w:rFonts w:cs="Calibri"/>
          <w:b/>
          <w:sz w:val="28"/>
          <w:szCs w:val="28"/>
        </w:rPr>
        <w:t>IV/Stratégie thérapeutique :</w:t>
      </w:r>
    </w:p>
    <w:p w:rsidR="00B10B80" w:rsidRDefault="00B10B80" w:rsidP="00B10B80">
      <w:pPr>
        <w:spacing w:after="0" w:line="276" w:lineRule="auto"/>
        <w:jc w:val="both"/>
        <w:rPr>
          <w:rFonts w:cs="Calibri"/>
          <w:sz w:val="24"/>
          <w:szCs w:val="24"/>
        </w:rPr>
      </w:pPr>
      <w:r w:rsidRPr="00B10B80">
        <w:rPr>
          <w:rFonts w:cs="Calibri"/>
          <w:sz w:val="24"/>
          <w:szCs w:val="24"/>
        </w:rPr>
        <w:t>Les nouvelles recommandations de la Société française de rhumatologie pour la prise en charge de la polyarthrite rhumatoïde</w:t>
      </w:r>
    </w:p>
    <w:p w:rsidR="00B10B80" w:rsidRDefault="00B10B80" w:rsidP="00B10B80">
      <w:pPr>
        <w:spacing w:after="0" w:line="276" w:lineRule="auto"/>
        <w:jc w:val="both"/>
        <w:rPr>
          <w:rFonts w:cs="Calibri"/>
          <w:sz w:val="24"/>
          <w:szCs w:val="24"/>
        </w:rPr>
      </w:pPr>
      <w:r>
        <w:rPr>
          <w:rFonts w:cs="Calibri"/>
          <w:sz w:val="24"/>
          <w:szCs w:val="24"/>
        </w:rPr>
        <w:t>*</w:t>
      </w:r>
      <w:r w:rsidRPr="00B10B80">
        <w:rPr>
          <w:rFonts w:cs="Calibri"/>
          <w:sz w:val="24"/>
          <w:szCs w:val="24"/>
        </w:rPr>
        <w:t>Principes généraux :</w:t>
      </w:r>
    </w:p>
    <w:p w:rsidR="00B10B80" w:rsidRDefault="00B10B80" w:rsidP="00B10B80">
      <w:pPr>
        <w:spacing w:after="0" w:line="276" w:lineRule="auto"/>
        <w:jc w:val="both"/>
        <w:rPr>
          <w:rFonts w:cs="Calibri"/>
          <w:sz w:val="24"/>
          <w:szCs w:val="24"/>
        </w:rPr>
      </w:pPr>
      <w:r>
        <w:rPr>
          <w:rFonts w:cs="Calibri"/>
          <w:sz w:val="24"/>
          <w:szCs w:val="24"/>
        </w:rPr>
        <w:t>-</w:t>
      </w:r>
      <w:r w:rsidRPr="00B10B80">
        <w:rPr>
          <w:rFonts w:cs="Calibri"/>
          <w:sz w:val="24"/>
          <w:szCs w:val="24"/>
        </w:rPr>
        <w:t>La prise en charge optimale des patients atteints de PR nécessite une concertation entre le rhumatologue et le patient, dans le cadre d’une décision médicale partagée reposant sur l’information et l’éducation du patient</w:t>
      </w:r>
    </w:p>
    <w:p w:rsidR="00B10B80" w:rsidRDefault="00B10B80" w:rsidP="00B10B80">
      <w:pPr>
        <w:spacing w:after="0" w:line="276" w:lineRule="auto"/>
        <w:jc w:val="both"/>
        <w:rPr>
          <w:rFonts w:cs="Calibri"/>
          <w:sz w:val="24"/>
          <w:szCs w:val="24"/>
        </w:rPr>
      </w:pPr>
      <w:r>
        <w:rPr>
          <w:rFonts w:cs="Calibri"/>
          <w:sz w:val="24"/>
          <w:szCs w:val="24"/>
        </w:rPr>
        <w:t>-</w:t>
      </w:r>
      <w:r w:rsidRPr="00B10B80">
        <w:rPr>
          <w:rFonts w:cs="Calibri"/>
          <w:sz w:val="24"/>
          <w:szCs w:val="24"/>
        </w:rPr>
        <w:t>Le rhumatologue est le spécialiste qui doit prendre en charge les patients atteints de PR. Le médecin généraliste joue un rôle important dans la détection de la maladie et le suivi du patient, en coordination avec le rhumatologue</w:t>
      </w:r>
    </w:p>
    <w:p w:rsidR="00B10B80" w:rsidRDefault="00B10B80" w:rsidP="00B10B80">
      <w:pPr>
        <w:spacing w:after="0" w:line="276" w:lineRule="auto"/>
        <w:jc w:val="both"/>
        <w:rPr>
          <w:rFonts w:cs="Calibri"/>
          <w:sz w:val="24"/>
          <w:szCs w:val="24"/>
        </w:rPr>
      </w:pPr>
      <w:r>
        <w:rPr>
          <w:rFonts w:cs="Calibri"/>
          <w:sz w:val="24"/>
          <w:szCs w:val="24"/>
        </w:rPr>
        <w:t>-</w:t>
      </w:r>
      <w:r w:rsidRPr="00B10B80">
        <w:t xml:space="preserve"> </w:t>
      </w:r>
      <w:r w:rsidRPr="00B10B80">
        <w:rPr>
          <w:rFonts w:cs="Calibri"/>
          <w:sz w:val="24"/>
          <w:szCs w:val="24"/>
        </w:rPr>
        <w:t>Le coût important de la polyarthrite rhumatoïde, de ses conséquences et de ses traitements, à l’échelon individuel et sociétal, devrait être pris en considération dans les orientations thérapeutiques</w:t>
      </w:r>
    </w:p>
    <w:p w:rsidR="00B65C8B" w:rsidRDefault="00B65C8B" w:rsidP="00B10B80">
      <w:pPr>
        <w:spacing w:after="0" w:line="276" w:lineRule="auto"/>
        <w:jc w:val="both"/>
        <w:rPr>
          <w:rFonts w:cs="Calibri"/>
          <w:sz w:val="24"/>
          <w:szCs w:val="24"/>
        </w:rPr>
      </w:pPr>
    </w:p>
    <w:p w:rsidR="00B10B80" w:rsidRDefault="00B10B80" w:rsidP="00B10B80">
      <w:pPr>
        <w:spacing w:after="0" w:line="276" w:lineRule="auto"/>
        <w:jc w:val="both"/>
        <w:rPr>
          <w:rFonts w:cs="Calibri"/>
          <w:sz w:val="24"/>
          <w:szCs w:val="24"/>
        </w:rPr>
      </w:pPr>
      <w:r>
        <w:rPr>
          <w:rFonts w:cs="Calibri"/>
          <w:sz w:val="24"/>
          <w:szCs w:val="24"/>
        </w:rPr>
        <w:lastRenderedPageBreak/>
        <w:t>*</w:t>
      </w:r>
      <w:r w:rsidRPr="00B10B80">
        <w:rPr>
          <w:rFonts w:cs="Calibri"/>
          <w:sz w:val="24"/>
          <w:szCs w:val="24"/>
        </w:rPr>
        <w:t>Recommandations</w:t>
      </w:r>
      <w:r>
        <w:rPr>
          <w:rFonts w:cs="Calibri"/>
          <w:sz w:val="24"/>
          <w:szCs w:val="24"/>
        </w:rPr>
        <w:t> :</w:t>
      </w:r>
    </w:p>
    <w:p w:rsidR="00B10B80" w:rsidRPr="00B10B80" w:rsidRDefault="00B10B80" w:rsidP="00B10B80">
      <w:pPr>
        <w:spacing w:after="0" w:line="276" w:lineRule="auto"/>
        <w:jc w:val="both"/>
        <w:rPr>
          <w:rFonts w:cs="Calibri"/>
          <w:sz w:val="24"/>
          <w:szCs w:val="24"/>
        </w:rPr>
      </w:pPr>
      <w:r>
        <w:rPr>
          <w:rFonts w:cs="Calibri"/>
          <w:sz w:val="24"/>
          <w:szCs w:val="24"/>
        </w:rPr>
        <w:t>1-</w:t>
      </w:r>
      <w:r w:rsidRPr="00B10B80">
        <w:rPr>
          <w:rFonts w:cs="Calibri"/>
          <w:sz w:val="24"/>
          <w:szCs w:val="24"/>
        </w:rPr>
        <w:t>Le diagnostic de PR doit être :</w:t>
      </w:r>
    </w:p>
    <w:p w:rsidR="00B10B80" w:rsidRDefault="00B10B80" w:rsidP="00B10B80">
      <w:pPr>
        <w:spacing w:after="0" w:line="276" w:lineRule="auto"/>
        <w:jc w:val="both"/>
        <w:rPr>
          <w:rFonts w:cs="Calibri"/>
          <w:sz w:val="24"/>
          <w:szCs w:val="24"/>
        </w:rPr>
      </w:pPr>
      <w:r>
        <w:rPr>
          <w:rFonts w:cs="Calibri"/>
          <w:sz w:val="24"/>
          <w:szCs w:val="24"/>
        </w:rPr>
        <w:t>a. É</w:t>
      </w:r>
      <w:r w:rsidRPr="00B10B80">
        <w:rPr>
          <w:rFonts w:cs="Calibri"/>
          <w:sz w:val="24"/>
          <w:szCs w:val="24"/>
        </w:rPr>
        <w:t>voqué devant certains si</w:t>
      </w:r>
      <w:r>
        <w:rPr>
          <w:rFonts w:cs="Calibri"/>
          <w:sz w:val="24"/>
          <w:szCs w:val="24"/>
        </w:rPr>
        <w:t xml:space="preserve">gnes cliniques, tels qu’un </w:t>
      </w:r>
      <w:proofErr w:type="spellStart"/>
      <w:r>
        <w:rPr>
          <w:rFonts w:cs="Calibri"/>
          <w:sz w:val="24"/>
          <w:szCs w:val="24"/>
        </w:rPr>
        <w:t>gonﬂ</w:t>
      </w:r>
      <w:r w:rsidRPr="00B10B80">
        <w:rPr>
          <w:rFonts w:cs="Calibri"/>
          <w:sz w:val="24"/>
          <w:szCs w:val="24"/>
        </w:rPr>
        <w:t>ement</w:t>
      </w:r>
      <w:proofErr w:type="spellEnd"/>
      <w:r w:rsidRPr="00B10B80">
        <w:rPr>
          <w:rFonts w:cs="Calibri"/>
          <w:sz w:val="24"/>
          <w:szCs w:val="24"/>
        </w:rPr>
        <w:t xml:space="preserve"> articulaire (arthrite clinique), une raideur matinale de plus de 30 mn, une douleur à la pression transverse des main</w:t>
      </w:r>
      <w:r>
        <w:rPr>
          <w:rFonts w:cs="Calibri"/>
          <w:sz w:val="24"/>
          <w:szCs w:val="24"/>
        </w:rPr>
        <w:t xml:space="preserve">s ou des avant-pieds ; </w:t>
      </w:r>
    </w:p>
    <w:p w:rsidR="00B10B80" w:rsidRDefault="00B10B80" w:rsidP="00B10B80">
      <w:pPr>
        <w:spacing w:after="0" w:line="276" w:lineRule="auto"/>
        <w:jc w:val="both"/>
        <w:rPr>
          <w:rFonts w:cs="Calibri"/>
          <w:sz w:val="24"/>
          <w:szCs w:val="24"/>
        </w:rPr>
      </w:pPr>
      <w:r>
        <w:rPr>
          <w:rFonts w:cs="Calibri"/>
          <w:sz w:val="24"/>
          <w:szCs w:val="24"/>
        </w:rPr>
        <w:t xml:space="preserve">b.  </w:t>
      </w:r>
      <w:proofErr w:type="spellStart"/>
      <w:r>
        <w:rPr>
          <w:rFonts w:cs="Calibri"/>
          <w:sz w:val="24"/>
          <w:szCs w:val="24"/>
        </w:rPr>
        <w:t>Conﬁ</w:t>
      </w:r>
      <w:r w:rsidRPr="00B10B80">
        <w:rPr>
          <w:rFonts w:cs="Calibri"/>
          <w:sz w:val="24"/>
          <w:szCs w:val="24"/>
        </w:rPr>
        <w:t>rmé</w:t>
      </w:r>
      <w:proofErr w:type="spellEnd"/>
      <w:r w:rsidRPr="00B10B80">
        <w:rPr>
          <w:rFonts w:cs="Calibri"/>
          <w:sz w:val="24"/>
          <w:szCs w:val="24"/>
        </w:rPr>
        <w:t xml:space="preserve"> par des examens biologiques (vitesse de sédimentation, protéine C réactive, anticorps anti-protéines </w:t>
      </w:r>
      <w:proofErr w:type="spellStart"/>
      <w:r w:rsidRPr="00B10B80">
        <w:rPr>
          <w:rFonts w:cs="Calibri"/>
          <w:sz w:val="24"/>
          <w:szCs w:val="24"/>
        </w:rPr>
        <w:t>citrullinées</w:t>
      </w:r>
      <w:proofErr w:type="spellEnd"/>
      <w:r w:rsidRPr="00B10B80">
        <w:rPr>
          <w:rFonts w:cs="Calibri"/>
          <w:sz w:val="24"/>
          <w:szCs w:val="24"/>
        </w:rPr>
        <w:t xml:space="preserve"> [ACPA], facteurs rhumatoïdes [FR]) et d’imagerie (radiographies, échographie), après avoir éliminé les diagnostics différentiels.</w:t>
      </w:r>
    </w:p>
    <w:p w:rsidR="00B10B80" w:rsidRDefault="00B10B80" w:rsidP="00B10B80">
      <w:pPr>
        <w:spacing w:after="0" w:line="276" w:lineRule="auto"/>
        <w:jc w:val="both"/>
        <w:rPr>
          <w:rFonts w:cs="Calibri"/>
          <w:sz w:val="24"/>
          <w:szCs w:val="24"/>
        </w:rPr>
      </w:pPr>
      <w:r>
        <w:rPr>
          <w:rFonts w:cs="Calibri"/>
          <w:sz w:val="24"/>
          <w:szCs w:val="24"/>
        </w:rPr>
        <w:t>2-</w:t>
      </w:r>
      <w:r w:rsidRPr="00B10B80">
        <w:rPr>
          <w:rFonts w:cs="Calibri"/>
          <w:sz w:val="24"/>
          <w:szCs w:val="24"/>
        </w:rPr>
        <w:t>Dès que le diagnostic de PR est posé, un traitement de fond doit être instauré</w:t>
      </w:r>
    </w:p>
    <w:p w:rsidR="00B10B80" w:rsidRDefault="00B10B80" w:rsidP="00B10B80">
      <w:pPr>
        <w:spacing w:after="0" w:line="276" w:lineRule="auto"/>
        <w:jc w:val="both"/>
        <w:rPr>
          <w:rFonts w:cs="Calibri"/>
          <w:sz w:val="24"/>
          <w:szCs w:val="24"/>
        </w:rPr>
      </w:pPr>
      <w:r>
        <w:rPr>
          <w:rFonts w:cs="Calibri"/>
          <w:sz w:val="24"/>
          <w:szCs w:val="24"/>
        </w:rPr>
        <w:t>3-</w:t>
      </w:r>
      <w:r w:rsidRPr="00B10B80">
        <w:rPr>
          <w:rFonts w:cs="Calibri"/>
          <w:sz w:val="24"/>
          <w:szCs w:val="24"/>
        </w:rPr>
        <w:t>L’objectif du traitement est la rémission clinique ou, au minimum, la faible a</w:t>
      </w:r>
      <w:r>
        <w:rPr>
          <w:rFonts w:cs="Calibri"/>
          <w:sz w:val="24"/>
          <w:szCs w:val="24"/>
        </w:rPr>
        <w:t xml:space="preserve">ctivité pour chaque patient, </w:t>
      </w:r>
      <w:proofErr w:type="spellStart"/>
      <w:r>
        <w:rPr>
          <w:rFonts w:cs="Calibri"/>
          <w:sz w:val="24"/>
          <w:szCs w:val="24"/>
        </w:rPr>
        <w:t>aﬁ</w:t>
      </w:r>
      <w:r w:rsidRPr="00B10B80">
        <w:rPr>
          <w:rFonts w:cs="Calibri"/>
          <w:sz w:val="24"/>
          <w:szCs w:val="24"/>
        </w:rPr>
        <w:t>n</w:t>
      </w:r>
      <w:proofErr w:type="spellEnd"/>
      <w:r w:rsidRPr="00B10B80">
        <w:rPr>
          <w:rFonts w:cs="Calibri"/>
          <w:sz w:val="24"/>
          <w:szCs w:val="24"/>
        </w:rPr>
        <w:t xml:space="preserve"> de prévenir la progression structurale et le handicap</w:t>
      </w:r>
    </w:p>
    <w:p w:rsidR="00B10B80" w:rsidRDefault="00B10B80" w:rsidP="00B10B80">
      <w:pPr>
        <w:spacing w:after="0" w:line="276" w:lineRule="auto"/>
        <w:jc w:val="both"/>
        <w:rPr>
          <w:rFonts w:cs="Calibri"/>
          <w:sz w:val="24"/>
          <w:szCs w:val="24"/>
        </w:rPr>
      </w:pPr>
      <w:r>
        <w:rPr>
          <w:rFonts w:cs="Calibri"/>
          <w:sz w:val="24"/>
          <w:szCs w:val="24"/>
        </w:rPr>
        <w:t xml:space="preserve">4-La rémission clinique est </w:t>
      </w:r>
      <w:proofErr w:type="spellStart"/>
      <w:r>
        <w:rPr>
          <w:rFonts w:cs="Calibri"/>
          <w:sz w:val="24"/>
          <w:szCs w:val="24"/>
        </w:rPr>
        <w:t>déﬁ</w:t>
      </w:r>
      <w:r w:rsidRPr="00B10B80">
        <w:rPr>
          <w:rFonts w:cs="Calibri"/>
          <w:sz w:val="24"/>
          <w:szCs w:val="24"/>
        </w:rPr>
        <w:t>nie</w:t>
      </w:r>
      <w:proofErr w:type="spellEnd"/>
      <w:r w:rsidRPr="00B10B80">
        <w:rPr>
          <w:rFonts w:cs="Calibri"/>
          <w:sz w:val="24"/>
          <w:szCs w:val="24"/>
        </w:rPr>
        <w:t xml:space="preserve"> par l’absence de signes</w:t>
      </w:r>
      <w:r>
        <w:rPr>
          <w:rFonts w:cs="Calibri"/>
          <w:sz w:val="24"/>
          <w:szCs w:val="24"/>
        </w:rPr>
        <w:t xml:space="preserve"> et de symptômes d’activité </w:t>
      </w:r>
      <w:proofErr w:type="spellStart"/>
      <w:r>
        <w:rPr>
          <w:rFonts w:cs="Calibri"/>
          <w:sz w:val="24"/>
          <w:szCs w:val="24"/>
        </w:rPr>
        <w:t>inﬂammatoire</w:t>
      </w:r>
      <w:proofErr w:type="spellEnd"/>
      <w:r>
        <w:rPr>
          <w:rFonts w:cs="Calibri"/>
          <w:sz w:val="24"/>
          <w:szCs w:val="24"/>
        </w:rPr>
        <w:t xml:space="preserve"> </w:t>
      </w:r>
      <w:proofErr w:type="spellStart"/>
      <w:r>
        <w:rPr>
          <w:rFonts w:cs="Calibri"/>
          <w:sz w:val="24"/>
          <w:szCs w:val="24"/>
        </w:rPr>
        <w:t>signiﬁ</w:t>
      </w:r>
      <w:r w:rsidRPr="00B10B80">
        <w:rPr>
          <w:rFonts w:cs="Calibri"/>
          <w:sz w:val="24"/>
          <w:szCs w:val="24"/>
        </w:rPr>
        <w:t>cative</w:t>
      </w:r>
      <w:proofErr w:type="spellEnd"/>
      <w:r w:rsidRPr="00B10B80">
        <w:rPr>
          <w:rFonts w:cs="Calibri"/>
          <w:sz w:val="24"/>
          <w:szCs w:val="24"/>
        </w:rPr>
        <w:t>. L’activité de la maladie doit être mesurée sur des critères composites validés, incluant les indices articulaires.</w:t>
      </w:r>
    </w:p>
    <w:p w:rsidR="00B10B80" w:rsidRDefault="00B10B80" w:rsidP="00B10B80">
      <w:pPr>
        <w:spacing w:after="0" w:line="276" w:lineRule="auto"/>
        <w:jc w:val="both"/>
        <w:rPr>
          <w:rFonts w:cs="Calibri"/>
          <w:sz w:val="24"/>
          <w:szCs w:val="24"/>
        </w:rPr>
      </w:pPr>
      <w:r>
        <w:rPr>
          <w:rFonts w:cs="Calibri"/>
          <w:sz w:val="24"/>
          <w:szCs w:val="24"/>
        </w:rPr>
        <w:t>5-</w:t>
      </w:r>
      <w:r w:rsidRPr="00B10B80">
        <w:rPr>
          <w:rFonts w:cs="Calibri"/>
          <w:sz w:val="24"/>
          <w:szCs w:val="24"/>
        </w:rPr>
        <w:t>Le suivi de la maladie doit être fréquent (évaluation tous les 1 à 3 mois) tant que la maladie est active. S’il n’y a pas d’amélioration dans les 3 mois suivant le dé</w:t>
      </w:r>
      <w:r>
        <w:rPr>
          <w:rFonts w:cs="Calibri"/>
          <w:sz w:val="24"/>
          <w:szCs w:val="24"/>
        </w:rPr>
        <w:t>but du traitement ou si l’objec</w:t>
      </w:r>
      <w:r w:rsidRPr="00B10B80">
        <w:rPr>
          <w:rFonts w:cs="Calibri"/>
          <w:sz w:val="24"/>
          <w:szCs w:val="24"/>
        </w:rPr>
        <w:t>tif thérapeutique n’a pas été atteint à 6 mois, le traitement doit être ajusté.</w:t>
      </w:r>
    </w:p>
    <w:p w:rsidR="00B10B80" w:rsidRDefault="00B10B80" w:rsidP="00B10B80">
      <w:pPr>
        <w:spacing w:after="0" w:line="276" w:lineRule="auto"/>
        <w:jc w:val="both"/>
        <w:rPr>
          <w:rFonts w:cs="Calibri"/>
          <w:sz w:val="24"/>
          <w:szCs w:val="24"/>
        </w:rPr>
      </w:pPr>
      <w:r>
        <w:rPr>
          <w:rFonts w:cs="Calibri"/>
          <w:sz w:val="24"/>
          <w:szCs w:val="24"/>
        </w:rPr>
        <w:t>6-</w:t>
      </w:r>
      <w:r w:rsidRPr="00B10B80">
        <w:rPr>
          <w:rFonts w:cs="Calibri"/>
          <w:sz w:val="24"/>
          <w:szCs w:val="24"/>
        </w:rPr>
        <w:t>Le méthotrexate est le traitement de fond de première ligne chez les patients ayant une PR active ; la dose optimale doit être atteinte au maximum en 4 à 8 semaines</w:t>
      </w:r>
    </w:p>
    <w:p w:rsidR="00B10B80" w:rsidRDefault="00B10B80" w:rsidP="00B10B80">
      <w:pPr>
        <w:spacing w:after="0" w:line="276" w:lineRule="auto"/>
        <w:jc w:val="both"/>
        <w:rPr>
          <w:rFonts w:cs="Calibri"/>
          <w:sz w:val="24"/>
          <w:szCs w:val="24"/>
        </w:rPr>
      </w:pPr>
      <w:r>
        <w:rPr>
          <w:rFonts w:cs="Calibri"/>
          <w:sz w:val="24"/>
          <w:szCs w:val="24"/>
        </w:rPr>
        <w:t>7-</w:t>
      </w:r>
      <w:r w:rsidRPr="00B10B80">
        <w:rPr>
          <w:rFonts w:cs="Calibri"/>
          <w:sz w:val="24"/>
          <w:szCs w:val="24"/>
        </w:rPr>
        <w:t>Chez les patients naïfs de traitement de fond, en cas de contre-indication au méthotrexate o</w:t>
      </w:r>
      <w:r>
        <w:rPr>
          <w:rFonts w:cs="Calibri"/>
          <w:sz w:val="24"/>
          <w:szCs w:val="24"/>
        </w:rPr>
        <w:t xml:space="preserve">u d’intolérance précoce, le </w:t>
      </w:r>
      <w:proofErr w:type="spellStart"/>
      <w:r>
        <w:rPr>
          <w:rFonts w:cs="Calibri"/>
          <w:sz w:val="24"/>
          <w:szCs w:val="24"/>
        </w:rPr>
        <w:t>léﬂ</w:t>
      </w:r>
      <w:r w:rsidRPr="00B10B80">
        <w:rPr>
          <w:rFonts w:cs="Calibri"/>
          <w:sz w:val="24"/>
          <w:szCs w:val="24"/>
        </w:rPr>
        <w:t>unomide</w:t>
      </w:r>
      <w:proofErr w:type="spellEnd"/>
      <w:r w:rsidRPr="00B10B80">
        <w:rPr>
          <w:rFonts w:cs="Calibri"/>
          <w:sz w:val="24"/>
          <w:szCs w:val="24"/>
        </w:rPr>
        <w:t xml:space="preserve"> ou la </w:t>
      </w:r>
      <w:proofErr w:type="spellStart"/>
      <w:r w:rsidRPr="00B10B80">
        <w:rPr>
          <w:rFonts w:cs="Calibri"/>
          <w:sz w:val="24"/>
          <w:szCs w:val="24"/>
        </w:rPr>
        <w:t>sulfasalazine</w:t>
      </w:r>
      <w:proofErr w:type="spellEnd"/>
      <w:r w:rsidRPr="00B10B80">
        <w:rPr>
          <w:rFonts w:cs="Calibri"/>
          <w:sz w:val="24"/>
          <w:szCs w:val="24"/>
        </w:rPr>
        <w:t xml:space="preserve"> sont une alternative thérapeutique.</w:t>
      </w:r>
    </w:p>
    <w:p w:rsidR="00B10B80" w:rsidRDefault="00B10B80" w:rsidP="00B10B80">
      <w:pPr>
        <w:spacing w:after="0" w:line="276" w:lineRule="auto"/>
        <w:jc w:val="both"/>
        <w:rPr>
          <w:rFonts w:cs="Calibri"/>
          <w:sz w:val="24"/>
          <w:szCs w:val="24"/>
        </w:rPr>
      </w:pPr>
      <w:r>
        <w:rPr>
          <w:rFonts w:cs="Calibri"/>
          <w:sz w:val="24"/>
          <w:szCs w:val="24"/>
        </w:rPr>
        <w:t>8-</w:t>
      </w:r>
      <w:r w:rsidRPr="00B10B80">
        <w:t xml:space="preserve"> </w:t>
      </w:r>
      <w:r>
        <w:rPr>
          <w:rFonts w:cs="Calibri"/>
          <w:sz w:val="24"/>
          <w:szCs w:val="24"/>
        </w:rPr>
        <w:t>Dans l’attente de l’</w:t>
      </w:r>
      <w:proofErr w:type="spellStart"/>
      <w:r>
        <w:rPr>
          <w:rFonts w:cs="Calibri"/>
          <w:sz w:val="24"/>
          <w:szCs w:val="24"/>
        </w:rPr>
        <w:t>efﬁ</w:t>
      </w:r>
      <w:r w:rsidRPr="00B10B80">
        <w:rPr>
          <w:rFonts w:cs="Calibri"/>
          <w:sz w:val="24"/>
          <w:szCs w:val="24"/>
        </w:rPr>
        <w:t>cacité</w:t>
      </w:r>
      <w:proofErr w:type="spellEnd"/>
      <w:r w:rsidRPr="00B10B80">
        <w:rPr>
          <w:rFonts w:cs="Calibri"/>
          <w:sz w:val="24"/>
          <w:szCs w:val="24"/>
        </w:rPr>
        <w:t xml:space="preserve"> du traitement de fond, une corticothérapie peut être proposée, en respectant une dose cumulée faible, si possible sur une période maximale de 6 mois. La corticothérapie sera </w:t>
      </w:r>
      <w:r>
        <w:rPr>
          <w:rFonts w:cs="Calibri"/>
          <w:sz w:val="24"/>
          <w:szCs w:val="24"/>
        </w:rPr>
        <w:t>diminuée aussi rapidement que p</w:t>
      </w:r>
      <w:r w:rsidRPr="00B10B80">
        <w:rPr>
          <w:rFonts w:cs="Calibri"/>
          <w:sz w:val="24"/>
          <w:szCs w:val="24"/>
        </w:rPr>
        <w:t>ossible.</w:t>
      </w:r>
    </w:p>
    <w:p w:rsidR="00B10B80" w:rsidRPr="00B10B80" w:rsidRDefault="00B10B80" w:rsidP="00B10B80">
      <w:pPr>
        <w:spacing w:after="0" w:line="276" w:lineRule="auto"/>
        <w:jc w:val="both"/>
        <w:rPr>
          <w:rFonts w:cs="Calibri"/>
          <w:sz w:val="24"/>
          <w:szCs w:val="24"/>
        </w:rPr>
      </w:pPr>
      <w:r>
        <w:rPr>
          <w:rFonts w:cs="Calibri"/>
          <w:sz w:val="24"/>
          <w:szCs w:val="24"/>
        </w:rPr>
        <w:t>9-</w:t>
      </w:r>
      <w:r w:rsidRPr="00B10B80">
        <w:t xml:space="preserve"> </w:t>
      </w:r>
      <w:r>
        <w:rPr>
          <w:rFonts w:cs="Calibri"/>
          <w:sz w:val="24"/>
          <w:szCs w:val="24"/>
        </w:rPr>
        <w:t xml:space="preserve">Chez les patients </w:t>
      </w:r>
      <w:proofErr w:type="spellStart"/>
      <w:r>
        <w:rPr>
          <w:rFonts w:cs="Calibri"/>
          <w:sz w:val="24"/>
          <w:szCs w:val="24"/>
        </w:rPr>
        <w:t>insufﬁ</w:t>
      </w:r>
      <w:r w:rsidRPr="00B10B80">
        <w:rPr>
          <w:rFonts w:cs="Calibri"/>
          <w:sz w:val="24"/>
          <w:szCs w:val="24"/>
        </w:rPr>
        <w:t>samment</w:t>
      </w:r>
      <w:proofErr w:type="spellEnd"/>
      <w:r w:rsidRPr="00B10B80">
        <w:rPr>
          <w:rFonts w:cs="Calibri"/>
          <w:sz w:val="24"/>
          <w:szCs w:val="24"/>
        </w:rPr>
        <w:t xml:space="preserve"> répondeurs ou intolérants au méthotrexate, et :</w:t>
      </w:r>
    </w:p>
    <w:p w:rsidR="00B10B80" w:rsidRDefault="00B10B80" w:rsidP="00B10B80">
      <w:pPr>
        <w:spacing w:after="0" w:line="276" w:lineRule="auto"/>
        <w:jc w:val="both"/>
        <w:rPr>
          <w:rFonts w:cs="Calibri"/>
          <w:sz w:val="24"/>
          <w:szCs w:val="24"/>
        </w:rPr>
      </w:pPr>
      <w:r w:rsidRPr="00B10B80">
        <w:rPr>
          <w:rFonts w:cs="Calibri"/>
          <w:sz w:val="24"/>
          <w:szCs w:val="24"/>
        </w:rPr>
        <w:t xml:space="preserve">a.   En présence de facteurs de mauvais pronostic, l’addition d’un </w:t>
      </w:r>
      <w:proofErr w:type="spellStart"/>
      <w:r w:rsidRPr="00B10B80">
        <w:rPr>
          <w:rFonts w:cs="Calibri"/>
          <w:sz w:val="24"/>
          <w:szCs w:val="24"/>
        </w:rPr>
        <w:t>biomédicament</w:t>
      </w:r>
      <w:proofErr w:type="spellEnd"/>
      <w:r w:rsidRPr="00B10B80">
        <w:rPr>
          <w:rFonts w:cs="Calibri"/>
          <w:sz w:val="24"/>
          <w:szCs w:val="24"/>
        </w:rPr>
        <w:t xml:space="preserve"> (anti-TNF, </w:t>
      </w:r>
      <w:r w:rsidR="00B65C8B">
        <w:rPr>
          <w:rFonts w:cs="Calibri"/>
          <w:sz w:val="24"/>
          <w:szCs w:val="24"/>
        </w:rPr>
        <w:t xml:space="preserve"> </w:t>
      </w:r>
      <w:proofErr w:type="spellStart"/>
      <w:r w:rsidR="00B65C8B">
        <w:rPr>
          <w:rFonts w:cs="Calibri"/>
          <w:sz w:val="24"/>
          <w:szCs w:val="24"/>
        </w:rPr>
        <w:t>tocilizumab</w:t>
      </w:r>
      <w:proofErr w:type="spellEnd"/>
      <w:r w:rsidR="00B65C8B">
        <w:rPr>
          <w:rFonts w:cs="Calibri"/>
          <w:sz w:val="24"/>
          <w:szCs w:val="24"/>
        </w:rPr>
        <w:t xml:space="preserve"> et</w:t>
      </w:r>
      <w:r w:rsidRPr="00B10B80">
        <w:rPr>
          <w:rFonts w:cs="Calibri"/>
          <w:sz w:val="24"/>
          <w:szCs w:val="24"/>
        </w:rPr>
        <w:t xml:space="preserve"> dans certain</w:t>
      </w:r>
      <w:r>
        <w:rPr>
          <w:rFonts w:cs="Calibri"/>
          <w:sz w:val="24"/>
          <w:szCs w:val="24"/>
        </w:rPr>
        <w:t>es circonstances, rituximab1</w:t>
      </w:r>
      <w:proofErr w:type="gramStart"/>
      <w:r>
        <w:rPr>
          <w:rFonts w:cs="Calibri"/>
          <w:sz w:val="24"/>
          <w:szCs w:val="24"/>
        </w:rPr>
        <w:t>) .</w:t>
      </w:r>
      <w:proofErr w:type="gramEnd"/>
    </w:p>
    <w:p w:rsidR="00B10B80" w:rsidRDefault="00B10B80" w:rsidP="00B10B80">
      <w:pPr>
        <w:spacing w:after="0" w:line="276" w:lineRule="auto"/>
        <w:jc w:val="both"/>
        <w:rPr>
          <w:rFonts w:cs="Calibri"/>
          <w:sz w:val="24"/>
          <w:szCs w:val="24"/>
        </w:rPr>
      </w:pPr>
      <w:r w:rsidRPr="00B10B80">
        <w:rPr>
          <w:rFonts w:cs="Calibri"/>
          <w:sz w:val="24"/>
          <w:szCs w:val="24"/>
        </w:rPr>
        <w:t xml:space="preserve">b.   En l’absence de facteurs de mauvais pronostic, une combinaison de traitements de fond synthétiques (méthotrexate, </w:t>
      </w:r>
      <w:proofErr w:type="spellStart"/>
      <w:r w:rsidRPr="00B10B80">
        <w:rPr>
          <w:rFonts w:cs="Calibri"/>
          <w:sz w:val="24"/>
          <w:szCs w:val="24"/>
        </w:rPr>
        <w:t>sulfasalazine</w:t>
      </w:r>
      <w:proofErr w:type="spellEnd"/>
      <w:r w:rsidRPr="00B10B80">
        <w:rPr>
          <w:rFonts w:cs="Calibri"/>
          <w:sz w:val="24"/>
          <w:szCs w:val="24"/>
        </w:rPr>
        <w:t xml:space="preserve">, </w:t>
      </w:r>
      <w:proofErr w:type="spellStart"/>
      <w:r w:rsidRPr="00B10B80">
        <w:rPr>
          <w:rFonts w:cs="Calibri"/>
          <w:sz w:val="24"/>
          <w:szCs w:val="24"/>
        </w:rPr>
        <w:t>hydroxycholoroquine</w:t>
      </w:r>
      <w:proofErr w:type="spellEnd"/>
      <w:r w:rsidRPr="00B10B80">
        <w:rPr>
          <w:rFonts w:cs="Calibri"/>
          <w:sz w:val="24"/>
          <w:szCs w:val="24"/>
        </w:rPr>
        <w:t>) ou bien une rotation pour un autre trai</w:t>
      </w:r>
      <w:r w:rsidR="003A7454">
        <w:rPr>
          <w:rFonts w:cs="Calibri"/>
          <w:sz w:val="24"/>
          <w:szCs w:val="24"/>
        </w:rPr>
        <w:t>tement de fond de synthèse (</w:t>
      </w:r>
      <w:proofErr w:type="spellStart"/>
      <w:r w:rsidR="003A7454">
        <w:rPr>
          <w:rFonts w:cs="Calibri"/>
          <w:sz w:val="24"/>
          <w:szCs w:val="24"/>
        </w:rPr>
        <w:t>léﬂ</w:t>
      </w:r>
      <w:r w:rsidRPr="00B10B80">
        <w:rPr>
          <w:rFonts w:cs="Calibri"/>
          <w:sz w:val="24"/>
          <w:szCs w:val="24"/>
        </w:rPr>
        <w:t>unomide</w:t>
      </w:r>
      <w:proofErr w:type="spellEnd"/>
      <w:r w:rsidRPr="00B10B80">
        <w:rPr>
          <w:rFonts w:cs="Calibri"/>
          <w:sz w:val="24"/>
          <w:szCs w:val="24"/>
        </w:rPr>
        <w:t xml:space="preserve">, </w:t>
      </w:r>
      <w:proofErr w:type="spellStart"/>
      <w:r w:rsidRPr="00B10B80">
        <w:rPr>
          <w:rFonts w:cs="Calibri"/>
          <w:sz w:val="24"/>
          <w:szCs w:val="24"/>
        </w:rPr>
        <w:t>sulfasalazine</w:t>
      </w:r>
      <w:proofErr w:type="spellEnd"/>
      <w:r w:rsidRPr="00B10B80">
        <w:rPr>
          <w:rFonts w:cs="Calibri"/>
          <w:sz w:val="24"/>
          <w:szCs w:val="24"/>
        </w:rPr>
        <w:t xml:space="preserve">) peuvent être proposées. En cas d’échec (ou de contre-indication), un </w:t>
      </w:r>
      <w:proofErr w:type="spellStart"/>
      <w:r w:rsidRPr="00B10B80">
        <w:rPr>
          <w:rFonts w:cs="Calibri"/>
          <w:sz w:val="24"/>
          <w:szCs w:val="24"/>
        </w:rPr>
        <w:t>biomédicament</w:t>
      </w:r>
      <w:proofErr w:type="spellEnd"/>
      <w:r w:rsidRPr="00B10B80">
        <w:rPr>
          <w:rFonts w:cs="Calibri"/>
          <w:sz w:val="24"/>
          <w:szCs w:val="24"/>
        </w:rPr>
        <w:t xml:space="preserve"> doit être envisagé</w:t>
      </w:r>
      <w:r>
        <w:rPr>
          <w:rFonts w:cs="Calibri"/>
          <w:sz w:val="24"/>
          <w:szCs w:val="24"/>
        </w:rPr>
        <w:t>.</w:t>
      </w:r>
    </w:p>
    <w:p w:rsidR="00B10B80" w:rsidRDefault="00B10B80" w:rsidP="00B10B80">
      <w:pPr>
        <w:spacing w:after="0" w:line="276" w:lineRule="auto"/>
        <w:jc w:val="both"/>
        <w:rPr>
          <w:rFonts w:cs="Calibri"/>
          <w:sz w:val="24"/>
          <w:szCs w:val="24"/>
        </w:rPr>
      </w:pPr>
      <w:r>
        <w:rPr>
          <w:rFonts w:cs="Calibri"/>
          <w:sz w:val="24"/>
          <w:szCs w:val="24"/>
        </w:rPr>
        <w:t>10-</w:t>
      </w:r>
      <w:r w:rsidRPr="00B10B80">
        <w:rPr>
          <w:rFonts w:cs="Calibri"/>
          <w:sz w:val="24"/>
          <w:szCs w:val="24"/>
        </w:rPr>
        <w:t xml:space="preserve">Tous les </w:t>
      </w:r>
      <w:proofErr w:type="spellStart"/>
      <w:r w:rsidRPr="00B10B80">
        <w:rPr>
          <w:rFonts w:cs="Calibri"/>
          <w:sz w:val="24"/>
          <w:szCs w:val="24"/>
        </w:rPr>
        <w:t>biomédicaments</w:t>
      </w:r>
      <w:proofErr w:type="spellEnd"/>
      <w:r w:rsidRPr="00B10B80">
        <w:rPr>
          <w:rFonts w:cs="Calibri"/>
          <w:sz w:val="24"/>
          <w:szCs w:val="24"/>
        </w:rPr>
        <w:t xml:space="preserve"> doivent être utilisés préférentiellement en association avec le méthotrexate</w:t>
      </w:r>
      <w:r>
        <w:rPr>
          <w:rFonts w:cs="Calibri"/>
          <w:sz w:val="24"/>
          <w:szCs w:val="24"/>
        </w:rPr>
        <w:t>.</w:t>
      </w:r>
    </w:p>
    <w:p w:rsidR="00B10B80" w:rsidRDefault="00B10B80" w:rsidP="00B10B80">
      <w:pPr>
        <w:spacing w:after="0" w:line="276" w:lineRule="auto"/>
        <w:jc w:val="both"/>
        <w:rPr>
          <w:rFonts w:cs="Calibri"/>
          <w:sz w:val="24"/>
          <w:szCs w:val="24"/>
        </w:rPr>
      </w:pPr>
      <w:r>
        <w:rPr>
          <w:rFonts w:cs="Calibri"/>
          <w:sz w:val="24"/>
          <w:szCs w:val="24"/>
        </w:rPr>
        <w:t>11-</w:t>
      </w:r>
      <w:r w:rsidRPr="00B10B80">
        <w:t xml:space="preserve"> </w:t>
      </w:r>
      <w:r w:rsidRPr="00B10B80">
        <w:rPr>
          <w:rFonts w:cs="Calibri"/>
          <w:sz w:val="24"/>
          <w:szCs w:val="24"/>
        </w:rPr>
        <w:t xml:space="preserve">Les patients en échec d’un premier </w:t>
      </w:r>
      <w:proofErr w:type="spellStart"/>
      <w:r w:rsidRPr="00B10B80">
        <w:rPr>
          <w:rFonts w:cs="Calibri"/>
          <w:sz w:val="24"/>
          <w:szCs w:val="24"/>
        </w:rPr>
        <w:t>biomédicament</w:t>
      </w:r>
      <w:proofErr w:type="spellEnd"/>
      <w:r w:rsidRPr="00B10B80">
        <w:rPr>
          <w:rFonts w:cs="Calibri"/>
          <w:sz w:val="24"/>
          <w:szCs w:val="24"/>
        </w:rPr>
        <w:t xml:space="preserve"> doivent être traités par un autre </w:t>
      </w:r>
      <w:proofErr w:type="spellStart"/>
      <w:r w:rsidRPr="00B10B80">
        <w:rPr>
          <w:rFonts w:cs="Calibri"/>
          <w:sz w:val="24"/>
          <w:szCs w:val="24"/>
        </w:rPr>
        <w:t>biomédicament</w:t>
      </w:r>
      <w:proofErr w:type="spellEnd"/>
      <w:r w:rsidRPr="00B10B80">
        <w:rPr>
          <w:rFonts w:cs="Calibri"/>
          <w:sz w:val="24"/>
          <w:szCs w:val="24"/>
        </w:rPr>
        <w:t xml:space="preserve"> ; les patients en échec à un premier anti-TNF peuvent recevoir un deuxième anti-TNF ou un </w:t>
      </w:r>
      <w:proofErr w:type="spellStart"/>
      <w:r w:rsidRPr="00B10B80">
        <w:rPr>
          <w:rFonts w:cs="Calibri"/>
          <w:sz w:val="24"/>
          <w:szCs w:val="24"/>
        </w:rPr>
        <w:t>biomédicament</w:t>
      </w:r>
      <w:proofErr w:type="spellEnd"/>
      <w:r w:rsidRPr="00B10B80">
        <w:rPr>
          <w:rFonts w:cs="Calibri"/>
          <w:sz w:val="24"/>
          <w:szCs w:val="24"/>
        </w:rPr>
        <w:t xml:space="preserve"> reposant sur un autre mode d’action.</w:t>
      </w:r>
    </w:p>
    <w:p w:rsidR="00B10B80" w:rsidRDefault="00B10B80" w:rsidP="00B10B80">
      <w:pPr>
        <w:spacing w:after="0" w:line="276" w:lineRule="auto"/>
        <w:jc w:val="both"/>
        <w:rPr>
          <w:rFonts w:cs="Calibri"/>
          <w:sz w:val="24"/>
          <w:szCs w:val="24"/>
        </w:rPr>
      </w:pPr>
      <w:r>
        <w:rPr>
          <w:rFonts w:cs="Calibri"/>
          <w:sz w:val="24"/>
          <w:szCs w:val="24"/>
        </w:rPr>
        <w:t>12-</w:t>
      </w:r>
      <w:r w:rsidRPr="00B10B80">
        <w:t xml:space="preserve"> </w:t>
      </w:r>
      <w:r w:rsidRPr="00B10B80">
        <w:rPr>
          <w:rFonts w:cs="Calibri"/>
          <w:sz w:val="24"/>
          <w:szCs w:val="24"/>
        </w:rPr>
        <w:t xml:space="preserve">En cas de rémission persistante, et après arrêt des corticoïdes (ou décroissance jusqu’à une dose inférieure ou égale à 5 mg/j), on peut envisager une décroissance du </w:t>
      </w:r>
      <w:proofErr w:type="spellStart"/>
      <w:r w:rsidRPr="00B10B80">
        <w:rPr>
          <w:rFonts w:cs="Calibri"/>
          <w:sz w:val="24"/>
          <w:szCs w:val="24"/>
        </w:rPr>
        <w:t>biomédicament</w:t>
      </w:r>
      <w:proofErr w:type="spellEnd"/>
      <w:r w:rsidRPr="00B10B80">
        <w:rPr>
          <w:rFonts w:cs="Calibri"/>
          <w:sz w:val="24"/>
          <w:szCs w:val="24"/>
        </w:rPr>
        <w:t>.</w:t>
      </w:r>
    </w:p>
    <w:p w:rsidR="00B10B80" w:rsidRDefault="00B10B80" w:rsidP="00B10B80">
      <w:pPr>
        <w:spacing w:after="0" w:line="276" w:lineRule="auto"/>
        <w:jc w:val="both"/>
        <w:rPr>
          <w:rFonts w:cs="Calibri"/>
          <w:sz w:val="24"/>
          <w:szCs w:val="24"/>
        </w:rPr>
      </w:pPr>
      <w:r>
        <w:rPr>
          <w:rFonts w:cs="Calibri"/>
          <w:sz w:val="24"/>
          <w:szCs w:val="24"/>
        </w:rPr>
        <w:t>13-</w:t>
      </w:r>
      <w:r w:rsidRPr="00B10B80">
        <w:t xml:space="preserve"> </w:t>
      </w:r>
      <w:r w:rsidRPr="00B10B80">
        <w:rPr>
          <w:rFonts w:cs="Calibri"/>
          <w:sz w:val="24"/>
          <w:szCs w:val="24"/>
        </w:rPr>
        <w:t>En cas de rémission persistante prolongée, une réduction progressive des traitements de fond conventionnels synthétiques peut être envisagée, dans le cadre d’une décision médicale partagée entre le patient et le médecin.</w:t>
      </w:r>
    </w:p>
    <w:p w:rsidR="00B10B80" w:rsidRDefault="00B10B80" w:rsidP="00B10B80">
      <w:pPr>
        <w:spacing w:after="0" w:line="276" w:lineRule="auto"/>
        <w:jc w:val="both"/>
        <w:rPr>
          <w:rFonts w:cs="Calibri"/>
          <w:sz w:val="24"/>
          <w:szCs w:val="24"/>
        </w:rPr>
      </w:pPr>
      <w:r>
        <w:rPr>
          <w:rFonts w:cs="Calibri"/>
          <w:sz w:val="24"/>
          <w:szCs w:val="24"/>
        </w:rPr>
        <w:lastRenderedPageBreak/>
        <w:t>14-</w:t>
      </w:r>
      <w:r w:rsidRPr="00B10B80">
        <w:t xml:space="preserve"> </w:t>
      </w:r>
      <w:r w:rsidRPr="00B10B80">
        <w:rPr>
          <w:rFonts w:cs="Calibri"/>
          <w:sz w:val="24"/>
          <w:szCs w:val="24"/>
        </w:rPr>
        <w:t>Le choix et l’adaptation thérapeutiques doivent intégrer d’autres facteurs que la mesure de l’activité de la maladie, comme la progression structurale, les maladies associées, la tolérance des traitements et l’avis du patient.</w:t>
      </w:r>
    </w:p>
    <w:p w:rsidR="00B10B80" w:rsidRDefault="00B10B80" w:rsidP="00B10B80">
      <w:pPr>
        <w:spacing w:after="0" w:line="276" w:lineRule="auto"/>
        <w:jc w:val="both"/>
        <w:rPr>
          <w:rFonts w:cs="Calibri"/>
          <w:sz w:val="24"/>
          <w:szCs w:val="24"/>
        </w:rPr>
      </w:pPr>
      <w:r>
        <w:rPr>
          <w:rFonts w:cs="Calibri"/>
          <w:sz w:val="24"/>
          <w:szCs w:val="24"/>
        </w:rPr>
        <w:t>15-</w:t>
      </w:r>
      <w:r w:rsidRPr="00B10B80">
        <w:t xml:space="preserve"> </w:t>
      </w:r>
      <w:r w:rsidRPr="00B10B80">
        <w:rPr>
          <w:rFonts w:cs="Calibri"/>
          <w:sz w:val="24"/>
          <w:szCs w:val="24"/>
        </w:rPr>
        <w:t>Une prise en charge globale du patient atteint de PR doit être proposée, intégrant, outre les traitements médicamenteux, des mesures d’éducation thérapeutique, la prise en charge des comorbidités et, selon les cas, un soutien psychologique, un accompagnement socioprofessionnel, la rééducation fonctionnelle ou le recours à la chirurgie.</w:t>
      </w:r>
    </w:p>
    <w:p w:rsidR="00D52D29" w:rsidRDefault="00D52D29" w:rsidP="00B10B80">
      <w:pPr>
        <w:spacing w:after="0" w:line="276" w:lineRule="auto"/>
        <w:jc w:val="both"/>
        <w:rPr>
          <w:rFonts w:cs="Calibri"/>
          <w:sz w:val="24"/>
          <w:szCs w:val="24"/>
        </w:rPr>
      </w:pPr>
    </w:p>
    <w:p w:rsidR="00D52D29" w:rsidRDefault="00D52D29" w:rsidP="00B10B80">
      <w:pPr>
        <w:spacing w:after="0" w:line="276" w:lineRule="auto"/>
        <w:jc w:val="both"/>
        <w:rPr>
          <w:rFonts w:cs="Calibri"/>
          <w:sz w:val="24"/>
          <w:szCs w:val="24"/>
        </w:rPr>
      </w:pPr>
      <w:r>
        <w:rPr>
          <w:rFonts w:cs="Calibri"/>
          <w:noProof/>
          <w:sz w:val="24"/>
          <w:szCs w:val="24"/>
          <w:lang w:eastAsia="fr-FR"/>
        </w:rPr>
        <w:drawing>
          <wp:inline distT="0" distB="0" distL="0" distR="0">
            <wp:extent cx="4175185" cy="3131389"/>
            <wp:effectExtent l="0" t="0" r="0" b="0"/>
            <wp:docPr id="2" name="Image 2" descr="C:\Users\imanou\Desktop\received_21915029211133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anou\Desktop\received_2191502921113334.jpeg"/>
                    <pic:cNvPicPr>
                      <a:picLocks noChangeAspect="1" noChangeArrowheads="1"/>
                    </pic:cNvPicPr>
                  </pic:nvPicPr>
                  <pic:blipFill>
                    <a:blip r:embed="rId8"/>
                    <a:srcRect/>
                    <a:stretch>
                      <a:fillRect/>
                    </a:stretch>
                  </pic:blipFill>
                  <pic:spPr bwMode="auto">
                    <a:xfrm>
                      <a:off x="0" y="0"/>
                      <a:ext cx="4173935" cy="3130452"/>
                    </a:xfrm>
                    <a:prstGeom prst="rect">
                      <a:avLst/>
                    </a:prstGeom>
                    <a:noFill/>
                    <a:ln w="9525">
                      <a:noFill/>
                      <a:miter lim="800000"/>
                      <a:headEnd/>
                      <a:tailEnd/>
                    </a:ln>
                  </pic:spPr>
                </pic:pic>
              </a:graphicData>
            </a:graphic>
          </wp:inline>
        </w:drawing>
      </w:r>
    </w:p>
    <w:p w:rsidR="008573BF" w:rsidRDefault="008573BF" w:rsidP="00B10B80">
      <w:pPr>
        <w:spacing w:after="0" w:line="276" w:lineRule="auto"/>
        <w:jc w:val="both"/>
        <w:rPr>
          <w:rFonts w:cs="Calibri"/>
          <w:sz w:val="24"/>
          <w:szCs w:val="24"/>
        </w:rPr>
      </w:pPr>
      <w:r>
        <w:rPr>
          <w:rFonts w:cs="Calibri"/>
          <w:sz w:val="24"/>
          <w:szCs w:val="24"/>
        </w:rPr>
        <w:t xml:space="preserve"> </w:t>
      </w:r>
    </w:p>
    <w:sectPr w:rsidR="008573BF" w:rsidSect="00B65C8B">
      <w:headerReference w:type="default" r:id="rId9"/>
      <w:footerReference w:type="default" r:id="rId10"/>
      <w:pgSz w:w="11906" w:h="16838"/>
      <w:pgMar w:top="993" w:right="1133"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DF" w:rsidRDefault="00CE19DF" w:rsidP="008B6571">
      <w:pPr>
        <w:spacing w:after="0" w:line="240" w:lineRule="auto"/>
      </w:pPr>
      <w:r>
        <w:separator/>
      </w:r>
    </w:p>
  </w:endnote>
  <w:endnote w:type="continuationSeparator" w:id="0">
    <w:p w:rsidR="00CE19DF" w:rsidRDefault="00CE19DF" w:rsidP="008B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350862"/>
      <w:docPartObj>
        <w:docPartGallery w:val="Page Numbers (Bottom of Page)"/>
        <w:docPartUnique/>
      </w:docPartObj>
    </w:sdtPr>
    <w:sdtContent>
      <w:p w:rsidR="006A27D6" w:rsidRDefault="006A27D6">
        <w:pPr>
          <w:pStyle w:val="Pieddepage"/>
          <w:jc w:val="right"/>
        </w:pPr>
        <w:r>
          <w:fldChar w:fldCharType="begin"/>
        </w:r>
        <w:r>
          <w:instrText>PAGE   \* MERGEFORMAT</w:instrText>
        </w:r>
        <w:r>
          <w:fldChar w:fldCharType="separate"/>
        </w:r>
        <w:r w:rsidR="00B65C8B">
          <w:rPr>
            <w:noProof/>
          </w:rPr>
          <w:t>3</w:t>
        </w:r>
        <w:r>
          <w:fldChar w:fldCharType="end"/>
        </w:r>
      </w:p>
    </w:sdtContent>
  </w:sdt>
  <w:p w:rsidR="006A27D6" w:rsidRDefault="006A27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DF" w:rsidRDefault="00CE19DF" w:rsidP="008B6571">
      <w:pPr>
        <w:spacing w:after="0" w:line="240" w:lineRule="auto"/>
      </w:pPr>
      <w:r>
        <w:separator/>
      </w:r>
    </w:p>
  </w:footnote>
  <w:footnote w:type="continuationSeparator" w:id="0">
    <w:p w:rsidR="00CE19DF" w:rsidRDefault="00CE19DF" w:rsidP="008B6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8"/>
        <w:szCs w:val="32"/>
      </w:rPr>
      <w:alias w:val="Titre"/>
      <w:id w:val="77738743"/>
      <w:placeholder>
        <w:docPart w:val="6A4EA633C8E34C99B0749DB12A4DE35E"/>
      </w:placeholder>
      <w:dataBinding w:prefixMappings="xmlns:ns0='http://schemas.openxmlformats.org/package/2006/metadata/core-properties' xmlns:ns1='http://purl.org/dc/elements/1.1/'" w:xpath="/ns0:coreProperties[1]/ns1:title[1]" w:storeItemID="{6C3C8BC8-F283-45AE-878A-BAB7291924A1}"/>
      <w:text/>
    </w:sdtPr>
    <w:sdtContent>
      <w:p w:rsidR="006A27D6" w:rsidRPr="008B6571" w:rsidRDefault="006A27D6" w:rsidP="008B6571">
        <w:pPr>
          <w:pStyle w:val="En-tte"/>
          <w:pBdr>
            <w:bottom w:val="thickThinSmallGap" w:sz="24" w:space="1" w:color="823B0B" w:themeColor="accent2" w:themeShade="7F"/>
          </w:pBdr>
          <w:rPr>
            <w:rFonts w:asciiTheme="majorHAnsi" w:eastAsiaTheme="majorEastAsia" w:hAnsiTheme="majorHAnsi" w:cstheme="majorBidi"/>
            <w:b/>
            <w:sz w:val="28"/>
            <w:szCs w:val="32"/>
          </w:rPr>
        </w:pPr>
        <w:proofErr w:type="spellStart"/>
        <w:r w:rsidRPr="008B6571">
          <w:rPr>
            <w:rFonts w:asciiTheme="majorHAnsi" w:eastAsiaTheme="majorEastAsia" w:hAnsiTheme="majorHAnsi" w:cstheme="majorBidi"/>
            <w:b/>
            <w:sz w:val="28"/>
            <w:szCs w:val="32"/>
          </w:rPr>
          <w:t>Ayed</w:t>
        </w:r>
        <w:proofErr w:type="spellEnd"/>
        <w:r w:rsidRPr="008B6571">
          <w:rPr>
            <w:rFonts w:asciiTheme="majorHAnsi" w:eastAsiaTheme="majorEastAsia" w:hAnsiTheme="majorHAnsi" w:cstheme="majorBidi"/>
            <w:b/>
            <w:sz w:val="28"/>
            <w:szCs w:val="32"/>
          </w:rPr>
          <w:t xml:space="preserve"> </w:t>
        </w:r>
        <w:proofErr w:type="spellStart"/>
        <w:r w:rsidRPr="008B6571">
          <w:rPr>
            <w:rFonts w:asciiTheme="majorHAnsi" w:eastAsiaTheme="majorEastAsia" w:hAnsiTheme="majorHAnsi" w:cstheme="majorBidi"/>
            <w:b/>
            <w:sz w:val="28"/>
            <w:szCs w:val="32"/>
          </w:rPr>
          <w:t>Houria</w:t>
        </w:r>
        <w:proofErr w:type="spellEnd"/>
        <w:r w:rsidRPr="008B6571">
          <w:rPr>
            <w:rFonts w:asciiTheme="majorHAnsi" w:eastAsiaTheme="majorEastAsia" w:hAnsiTheme="majorHAnsi" w:cstheme="majorBidi"/>
            <w:b/>
            <w:sz w:val="28"/>
            <w:szCs w:val="32"/>
          </w:rPr>
          <w:t xml:space="preserve">             </w:t>
        </w:r>
        <w:r>
          <w:rPr>
            <w:rFonts w:asciiTheme="majorHAnsi" w:eastAsiaTheme="majorEastAsia" w:hAnsiTheme="majorHAnsi" w:cstheme="majorBidi"/>
            <w:b/>
            <w:sz w:val="28"/>
            <w:szCs w:val="32"/>
          </w:rPr>
          <w:t xml:space="preserve">                      </w:t>
        </w:r>
        <w:r w:rsidRPr="008B6571">
          <w:rPr>
            <w:rFonts w:asciiTheme="majorHAnsi" w:eastAsiaTheme="majorEastAsia" w:hAnsiTheme="majorHAnsi" w:cstheme="majorBidi"/>
            <w:b/>
            <w:sz w:val="28"/>
            <w:szCs w:val="32"/>
          </w:rPr>
          <w:t xml:space="preserve">Prise en charge de la Polyarthrite Rhumatoïde  </w:t>
        </w:r>
        <w:r>
          <w:rPr>
            <w:rFonts w:asciiTheme="majorHAnsi" w:eastAsiaTheme="majorEastAsia" w:hAnsiTheme="majorHAnsi" w:cstheme="majorBidi"/>
            <w:b/>
            <w:sz w:val="28"/>
            <w:szCs w:val="32"/>
          </w:rPr>
          <w:t xml:space="preserve">       </w:t>
        </w:r>
      </w:p>
    </w:sdtContent>
  </w:sdt>
  <w:p w:rsidR="006A27D6" w:rsidRPr="008B6571" w:rsidRDefault="006A27D6">
    <w:pPr>
      <w:pStyle w:val="En-tte"/>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95C"/>
    <w:multiLevelType w:val="hybridMultilevel"/>
    <w:tmpl w:val="4FF00182"/>
    <w:lvl w:ilvl="0" w:tplc="31D2A20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02DF458E"/>
    <w:multiLevelType w:val="hybridMultilevel"/>
    <w:tmpl w:val="39E6A624"/>
    <w:lvl w:ilvl="0" w:tplc="8D36B418">
      <w:start w:val="3"/>
      <w:numFmt w:val="bullet"/>
      <w:lvlText w:val="-"/>
      <w:lvlJc w:val="left"/>
      <w:pPr>
        <w:ind w:left="720" w:hanging="360"/>
      </w:pPr>
      <w:rPr>
        <w:rFonts w:ascii="Calibri" w:eastAsia="Calibri" w:hAnsi="Calibri" w:cs="Arial" w:hint="default"/>
        <w:b w:val="0"/>
        <w:color w:val="000000"/>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E059DC"/>
    <w:multiLevelType w:val="hybridMultilevel"/>
    <w:tmpl w:val="B350887E"/>
    <w:lvl w:ilvl="0" w:tplc="E870AB0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C760C5"/>
    <w:multiLevelType w:val="hybridMultilevel"/>
    <w:tmpl w:val="BE1CBBD4"/>
    <w:lvl w:ilvl="0" w:tplc="91446EEC">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9EF49E0"/>
    <w:multiLevelType w:val="hybridMultilevel"/>
    <w:tmpl w:val="2B723F38"/>
    <w:lvl w:ilvl="0" w:tplc="CB9E21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42421E"/>
    <w:multiLevelType w:val="hybridMultilevel"/>
    <w:tmpl w:val="766EB540"/>
    <w:lvl w:ilvl="0" w:tplc="8D36B418">
      <w:start w:val="3"/>
      <w:numFmt w:val="bullet"/>
      <w:lvlText w:val="-"/>
      <w:lvlJc w:val="left"/>
      <w:pPr>
        <w:ind w:left="360" w:hanging="360"/>
      </w:pPr>
      <w:rPr>
        <w:rFonts w:ascii="Calibri" w:eastAsia="Calibri" w:hAnsi="Calibri" w:cs="Arial" w:hint="default"/>
        <w:b w:val="0"/>
        <w:color w:val="000000"/>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AF04192"/>
    <w:multiLevelType w:val="hybridMultilevel"/>
    <w:tmpl w:val="944ED730"/>
    <w:lvl w:ilvl="0" w:tplc="91446EEC">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0B736A17"/>
    <w:multiLevelType w:val="hybridMultilevel"/>
    <w:tmpl w:val="990E1DBE"/>
    <w:lvl w:ilvl="0" w:tplc="040C0001">
      <w:start w:val="1"/>
      <w:numFmt w:val="bullet"/>
      <w:lvlText w:val=""/>
      <w:lvlJc w:val="left"/>
      <w:pPr>
        <w:ind w:left="975" w:hanging="360"/>
      </w:pPr>
      <w:rPr>
        <w:rFonts w:ascii="Symbol" w:hAnsi="Symbol"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8">
    <w:nsid w:val="0BE631E9"/>
    <w:multiLevelType w:val="hybridMultilevel"/>
    <w:tmpl w:val="AA589DD8"/>
    <w:lvl w:ilvl="0" w:tplc="91446EEC">
      <w:start w:val="2"/>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0C9600F0"/>
    <w:multiLevelType w:val="hybridMultilevel"/>
    <w:tmpl w:val="A858B8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0E0D361B"/>
    <w:multiLevelType w:val="hybridMultilevel"/>
    <w:tmpl w:val="B0FC6260"/>
    <w:lvl w:ilvl="0" w:tplc="91446EEC">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E2D1168"/>
    <w:multiLevelType w:val="hybridMultilevel"/>
    <w:tmpl w:val="865281A0"/>
    <w:lvl w:ilvl="0" w:tplc="457892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EAA34D0"/>
    <w:multiLevelType w:val="hybridMultilevel"/>
    <w:tmpl w:val="701C42D4"/>
    <w:lvl w:ilvl="0" w:tplc="D974E478">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EB02F94"/>
    <w:multiLevelType w:val="hybridMultilevel"/>
    <w:tmpl w:val="EA28AFFC"/>
    <w:lvl w:ilvl="0" w:tplc="33EEBAD8">
      <w:start w:val="1"/>
      <w:numFmt w:val="bullet"/>
      <w:lvlText w:val=""/>
      <w:lvlJc w:val="left"/>
      <w:pPr>
        <w:ind w:left="990" w:hanging="360"/>
      </w:pPr>
      <w:rPr>
        <w:rFonts w:ascii="Symbol" w:hAnsi="Symbol" w:hint="default"/>
        <w:sz w:val="12"/>
        <w:szCs w:val="12"/>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14">
    <w:nsid w:val="11482CC9"/>
    <w:multiLevelType w:val="hybridMultilevel"/>
    <w:tmpl w:val="FEB64D3A"/>
    <w:lvl w:ilvl="0" w:tplc="AD84196E">
      <w:start w:val="1"/>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119527B8"/>
    <w:multiLevelType w:val="hybridMultilevel"/>
    <w:tmpl w:val="19FC5C52"/>
    <w:lvl w:ilvl="0" w:tplc="14EAC24E">
      <w:start w:val="1"/>
      <w:numFmt w:val="lowerLetter"/>
      <w:lvlText w:val="%1)"/>
      <w:lvlJc w:val="left"/>
      <w:pPr>
        <w:ind w:left="644" w:hanging="360"/>
      </w:pPr>
      <w:rPr>
        <w:rFonts w:hint="default"/>
        <w:b/>
        <w:bCs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nsid w:val="12CA0B2F"/>
    <w:multiLevelType w:val="hybridMultilevel"/>
    <w:tmpl w:val="1CA8D43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17610E4C"/>
    <w:multiLevelType w:val="hybridMultilevel"/>
    <w:tmpl w:val="302EBE1C"/>
    <w:lvl w:ilvl="0" w:tplc="1C4273CE">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6C80CCE"/>
    <w:multiLevelType w:val="hybridMultilevel"/>
    <w:tmpl w:val="FBA810C8"/>
    <w:lvl w:ilvl="0" w:tplc="91446EEC">
      <w:start w:val="2"/>
      <w:numFmt w:val="bullet"/>
      <w:lvlText w:val="-"/>
      <w:lvlJc w:val="left"/>
      <w:pPr>
        <w:ind w:left="465" w:hanging="360"/>
      </w:pPr>
      <w:rPr>
        <w:rFonts w:ascii="Times New Roman" w:eastAsia="Calibri" w:hAnsi="Times New Roman" w:cs="Times New Roman" w:hint="default"/>
        <w:sz w:val="12"/>
        <w:szCs w:val="12"/>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19">
    <w:nsid w:val="275824FB"/>
    <w:multiLevelType w:val="hybridMultilevel"/>
    <w:tmpl w:val="B53668E6"/>
    <w:lvl w:ilvl="0" w:tplc="91446EEC">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2E790B82"/>
    <w:multiLevelType w:val="hybridMultilevel"/>
    <w:tmpl w:val="F75E9424"/>
    <w:lvl w:ilvl="0" w:tplc="CC44E744">
      <w:start w:val="1"/>
      <w:numFmt w:val="decimal"/>
      <w:lvlText w:val="%1)"/>
      <w:lvlJc w:val="left"/>
      <w:pPr>
        <w:ind w:left="862" w:hanging="360"/>
      </w:pPr>
      <w:rPr>
        <w:rFonts w:hint="default"/>
        <w:b/>
        <w:bCs/>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1">
    <w:nsid w:val="2F8C5AD7"/>
    <w:multiLevelType w:val="hybridMultilevel"/>
    <w:tmpl w:val="270C73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315669A"/>
    <w:multiLevelType w:val="hybridMultilevel"/>
    <w:tmpl w:val="BECC3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6760591"/>
    <w:multiLevelType w:val="hybridMultilevel"/>
    <w:tmpl w:val="83CA78FA"/>
    <w:lvl w:ilvl="0" w:tplc="8D36B418">
      <w:start w:val="3"/>
      <w:numFmt w:val="bullet"/>
      <w:lvlText w:val="-"/>
      <w:lvlJc w:val="left"/>
      <w:pPr>
        <w:ind w:left="360" w:hanging="360"/>
      </w:pPr>
      <w:rPr>
        <w:rFonts w:ascii="Calibri" w:eastAsia="Calibri" w:hAnsi="Calibri" w:cs="Arial" w:hint="default"/>
        <w:b w:val="0"/>
        <w:color w:val="000000"/>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3B5B5962"/>
    <w:multiLevelType w:val="hybridMultilevel"/>
    <w:tmpl w:val="8B582F96"/>
    <w:lvl w:ilvl="0" w:tplc="AD84196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D581B89"/>
    <w:multiLevelType w:val="hybridMultilevel"/>
    <w:tmpl w:val="A1EEA1EA"/>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3EE340BC"/>
    <w:multiLevelType w:val="hybridMultilevel"/>
    <w:tmpl w:val="45F2B21A"/>
    <w:lvl w:ilvl="0" w:tplc="AD84196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F6D086A"/>
    <w:multiLevelType w:val="hybridMultilevel"/>
    <w:tmpl w:val="3476EDEC"/>
    <w:lvl w:ilvl="0" w:tplc="7E2003E8">
      <w:start w:val="3"/>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45563398"/>
    <w:multiLevelType w:val="hybridMultilevel"/>
    <w:tmpl w:val="3DC40F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C674C93"/>
    <w:multiLevelType w:val="hybridMultilevel"/>
    <w:tmpl w:val="5F084F40"/>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0">
    <w:nsid w:val="4C760C22"/>
    <w:multiLevelType w:val="hybridMultilevel"/>
    <w:tmpl w:val="3C620120"/>
    <w:lvl w:ilvl="0" w:tplc="91446EEC">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4E8B7489"/>
    <w:multiLevelType w:val="hybridMultilevel"/>
    <w:tmpl w:val="0C686274"/>
    <w:lvl w:ilvl="0" w:tplc="91446EEC">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50E703B1"/>
    <w:multiLevelType w:val="hybridMultilevel"/>
    <w:tmpl w:val="69EE2F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53465EFD"/>
    <w:multiLevelType w:val="hybridMultilevel"/>
    <w:tmpl w:val="CDDC1350"/>
    <w:lvl w:ilvl="0" w:tplc="AD84196E">
      <w:start w:val="1"/>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57F21CD7"/>
    <w:multiLevelType w:val="hybridMultilevel"/>
    <w:tmpl w:val="07B048A8"/>
    <w:lvl w:ilvl="0" w:tplc="D0B40E2A">
      <w:start w:val="1"/>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58E478F7"/>
    <w:multiLevelType w:val="hybridMultilevel"/>
    <w:tmpl w:val="4FF03DE6"/>
    <w:lvl w:ilvl="0" w:tplc="0726911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5A5A7C4D"/>
    <w:multiLevelType w:val="hybridMultilevel"/>
    <w:tmpl w:val="FC3064D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5AD270C3"/>
    <w:multiLevelType w:val="hybridMultilevel"/>
    <w:tmpl w:val="6BB0D134"/>
    <w:lvl w:ilvl="0" w:tplc="33EEBAD8">
      <w:start w:val="1"/>
      <w:numFmt w:val="bullet"/>
      <w:lvlText w:val=""/>
      <w:lvlJc w:val="left"/>
      <w:pPr>
        <w:ind w:left="1068" w:hanging="360"/>
      </w:pPr>
      <w:rPr>
        <w:rFonts w:ascii="Symbol" w:hAnsi="Symbol" w:hint="default"/>
        <w:sz w:val="12"/>
        <w:szCs w:val="1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nsid w:val="5ED5588E"/>
    <w:multiLevelType w:val="hybridMultilevel"/>
    <w:tmpl w:val="26AE44DA"/>
    <w:lvl w:ilvl="0" w:tplc="91446EEC">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5FC66E16"/>
    <w:multiLevelType w:val="hybridMultilevel"/>
    <w:tmpl w:val="E8AA7432"/>
    <w:lvl w:ilvl="0" w:tplc="33EEBAD8">
      <w:start w:val="1"/>
      <w:numFmt w:val="bullet"/>
      <w:lvlText w:val=""/>
      <w:lvlJc w:val="left"/>
      <w:pPr>
        <w:ind w:left="360" w:hanging="360"/>
      </w:pPr>
      <w:rPr>
        <w:rFonts w:ascii="Symbol" w:hAnsi="Symbol" w:hint="default"/>
        <w:sz w:val="12"/>
        <w:szCs w:val="1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650D764D"/>
    <w:multiLevelType w:val="hybridMultilevel"/>
    <w:tmpl w:val="9C3AF942"/>
    <w:lvl w:ilvl="0" w:tplc="EC5ADCC8">
      <w:start w:val="1"/>
      <w:numFmt w:val="decimal"/>
      <w:lvlText w:val="%1."/>
      <w:lvlJc w:val="left"/>
      <w:pPr>
        <w:ind w:left="360" w:hanging="360"/>
      </w:pPr>
      <w:rPr>
        <w:rFonts w:hint="default"/>
        <w:b w:val="0"/>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6E1A2A65"/>
    <w:multiLevelType w:val="hybridMultilevel"/>
    <w:tmpl w:val="62B4076E"/>
    <w:lvl w:ilvl="0" w:tplc="91446EEC">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6F211CDD"/>
    <w:multiLevelType w:val="hybridMultilevel"/>
    <w:tmpl w:val="F3767692"/>
    <w:lvl w:ilvl="0" w:tplc="91446EEC">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0A425CB"/>
    <w:multiLevelType w:val="hybridMultilevel"/>
    <w:tmpl w:val="9F728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4202D81"/>
    <w:multiLevelType w:val="hybridMultilevel"/>
    <w:tmpl w:val="116A692E"/>
    <w:lvl w:ilvl="0" w:tplc="91446EEC">
      <w:start w:val="2"/>
      <w:numFmt w:val="bullet"/>
      <w:lvlText w:val="-"/>
      <w:lvlJc w:val="left"/>
      <w:pPr>
        <w:ind w:left="1260" w:hanging="360"/>
      </w:pPr>
      <w:rPr>
        <w:rFonts w:ascii="Times New Roman" w:eastAsia="Calibri" w:hAnsi="Times New Roman" w:cs="Times New Roman"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5">
    <w:nsid w:val="74E422A1"/>
    <w:multiLevelType w:val="hybridMultilevel"/>
    <w:tmpl w:val="77E4F23E"/>
    <w:lvl w:ilvl="0" w:tplc="AD84196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87A4034"/>
    <w:multiLevelType w:val="hybridMultilevel"/>
    <w:tmpl w:val="72A24528"/>
    <w:lvl w:ilvl="0" w:tplc="91446EEC">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7D58649A"/>
    <w:multiLevelType w:val="hybridMultilevel"/>
    <w:tmpl w:val="7538576E"/>
    <w:lvl w:ilvl="0" w:tplc="91446EEC">
      <w:start w:val="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9"/>
  </w:num>
  <w:num w:numId="2">
    <w:abstractNumId w:val="16"/>
  </w:num>
  <w:num w:numId="3">
    <w:abstractNumId w:val="39"/>
  </w:num>
  <w:num w:numId="4">
    <w:abstractNumId w:val="36"/>
  </w:num>
  <w:num w:numId="5">
    <w:abstractNumId w:val="32"/>
  </w:num>
  <w:num w:numId="6">
    <w:abstractNumId w:val="29"/>
  </w:num>
  <w:num w:numId="7">
    <w:abstractNumId w:val="27"/>
  </w:num>
  <w:num w:numId="8">
    <w:abstractNumId w:val="40"/>
  </w:num>
  <w:num w:numId="9">
    <w:abstractNumId w:val="2"/>
  </w:num>
  <w:num w:numId="10">
    <w:abstractNumId w:val="20"/>
  </w:num>
  <w:num w:numId="11">
    <w:abstractNumId w:val="34"/>
  </w:num>
  <w:num w:numId="12">
    <w:abstractNumId w:val="43"/>
  </w:num>
  <w:num w:numId="13">
    <w:abstractNumId w:val="15"/>
  </w:num>
  <w:num w:numId="14">
    <w:abstractNumId w:val="7"/>
  </w:num>
  <w:num w:numId="15">
    <w:abstractNumId w:val="10"/>
  </w:num>
  <w:num w:numId="16">
    <w:abstractNumId w:val="12"/>
  </w:num>
  <w:num w:numId="17">
    <w:abstractNumId w:val="35"/>
  </w:num>
  <w:num w:numId="18">
    <w:abstractNumId w:val="45"/>
  </w:num>
  <w:num w:numId="19">
    <w:abstractNumId w:val="26"/>
  </w:num>
  <w:num w:numId="20">
    <w:abstractNumId w:val="25"/>
  </w:num>
  <w:num w:numId="21">
    <w:abstractNumId w:val="14"/>
  </w:num>
  <w:num w:numId="22">
    <w:abstractNumId w:val="22"/>
  </w:num>
  <w:num w:numId="23">
    <w:abstractNumId w:val="24"/>
  </w:num>
  <w:num w:numId="24">
    <w:abstractNumId w:val="33"/>
  </w:num>
  <w:num w:numId="25">
    <w:abstractNumId w:val="28"/>
  </w:num>
  <w:num w:numId="26">
    <w:abstractNumId w:val="17"/>
  </w:num>
  <w:num w:numId="27">
    <w:abstractNumId w:val="4"/>
  </w:num>
  <w:num w:numId="28">
    <w:abstractNumId w:val="0"/>
  </w:num>
  <w:num w:numId="29">
    <w:abstractNumId w:val="13"/>
  </w:num>
  <w:num w:numId="30">
    <w:abstractNumId w:val="44"/>
  </w:num>
  <w:num w:numId="31">
    <w:abstractNumId w:val="37"/>
  </w:num>
  <w:num w:numId="32">
    <w:abstractNumId w:val="11"/>
  </w:num>
  <w:num w:numId="33">
    <w:abstractNumId w:val="21"/>
  </w:num>
  <w:num w:numId="34">
    <w:abstractNumId w:val="18"/>
  </w:num>
  <w:num w:numId="35">
    <w:abstractNumId w:val="30"/>
  </w:num>
  <w:num w:numId="36">
    <w:abstractNumId w:val="3"/>
  </w:num>
  <w:num w:numId="37">
    <w:abstractNumId w:val="19"/>
  </w:num>
  <w:num w:numId="38">
    <w:abstractNumId w:val="46"/>
  </w:num>
  <w:num w:numId="39">
    <w:abstractNumId w:val="31"/>
  </w:num>
  <w:num w:numId="40">
    <w:abstractNumId w:val="38"/>
  </w:num>
  <w:num w:numId="41">
    <w:abstractNumId w:val="6"/>
  </w:num>
  <w:num w:numId="42">
    <w:abstractNumId w:val="8"/>
  </w:num>
  <w:num w:numId="43">
    <w:abstractNumId w:val="41"/>
  </w:num>
  <w:num w:numId="44">
    <w:abstractNumId w:val="23"/>
  </w:num>
  <w:num w:numId="45">
    <w:abstractNumId w:val="1"/>
  </w:num>
  <w:num w:numId="46">
    <w:abstractNumId w:val="5"/>
  </w:num>
  <w:num w:numId="47">
    <w:abstractNumId w:val="42"/>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534ED"/>
    <w:rsid w:val="00046D8B"/>
    <w:rsid w:val="00052EE7"/>
    <w:rsid w:val="000642DE"/>
    <w:rsid w:val="00074135"/>
    <w:rsid w:val="000B74F9"/>
    <w:rsid w:val="000C188D"/>
    <w:rsid w:val="000E0C1E"/>
    <w:rsid w:val="000E432B"/>
    <w:rsid w:val="000F48FC"/>
    <w:rsid w:val="000F70A3"/>
    <w:rsid w:val="00141E98"/>
    <w:rsid w:val="00152136"/>
    <w:rsid w:val="001B6EED"/>
    <w:rsid w:val="001C6B0C"/>
    <w:rsid w:val="0023063D"/>
    <w:rsid w:val="00233D86"/>
    <w:rsid w:val="00263A60"/>
    <w:rsid w:val="00277197"/>
    <w:rsid w:val="00277E2F"/>
    <w:rsid w:val="00295001"/>
    <w:rsid w:val="002C00DF"/>
    <w:rsid w:val="002C2F62"/>
    <w:rsid w:val="002E2550"/>
    <w:rsid w:val="0031214B"/>
    <w:rsid w:val="0034043A"/>
    <w:rsid w:val="00347342"/>
    <w:rsid w:val="00362661"/>
    <w:rsid w:val="00372D5B"/>
    <w:rsid w:val="00377634"/>
    <w:rsid w:val="003A7454"/>
    <w:rsid w:val="003D71CC"/>
    <w:rsid w:val="003F1BA8"/>
    <w:rsid w:val="00407C7A"/>
    <w:rsid w:val="00417893"/>
    <w:rsid w:val="004534ED"/>
    <w:rsid w:val="00490FA7"/>
    <w:rsid w:val="00492858"/>
    <w:rsid w:val="00495B65"/>
    <w:rsid w:val="004D1E41"/>
    <w:rsid w:val="004F0266"/>
    <w:rsid w:val="004F5FA0"/>
    <w:rsid w:val="00506FDA"/>
    <w:rsid w:val="00542678"/>
    <w:rsid w:val="00550618"/>
    <w:rsid w:val="005565BE"/>
    <w:rsid w:val="00562AE0"/>
    <w:rsid w:val="005A15DF"/>
    <w:rsid w:val="005C13E8"/>
    <w:rsid w:val="00610146"/>
    <w:rsid w:val="00634217"/>
    <w:rsid w:val="00637B98"/>
    <w:rsid w:val="006433A0"/>
    <w:rsid w:val="0066261E"/>
    <w:rsid w:val="00692C09"/>
    <w:rsid w:val="006A27D6"/>
    <w:rsid w:val="006A5D89"/>
    <w:rsid w:val="006F2142"/>
    <w:rsid w:val="00743E83"/>
    <w:rsid w:val="00760D3A"/>
    <w:rsid w:val="00775B79"/>
    <w:rsid w:val="007A5788"/>
    <w:rsid w:val="007C7425"/>
    <w:rsid w:val="007D6073"/>
    <w:rsid w:val="007E24A2"/>
    <w:rsid w:val="00823B41"/>
    <w:rsid w:val="008573BF"/>
    <w:rsid w:val="00873817"/>
    <w:rsid w:val="008B6571"/>
    <w:rsid w:val="008C5AA2"/>
    <w:rsid w:val="008E6DBE"/>
    <w:rsid w:val="00967D97"/>
    <w:rsid w:val="00971F72"/>
    <w:rsid w:val="009D0B46"/>
    <w:rsid w:val="009D1E78"/>
    <w:rsid w:val="00A12847"/>
    <w:rsid w:val="00A15FD6"/>
    <w:rsid w:val="00A4427F"/>
    <w:rsid w:val="00A67C90"/>
    <w:rsid w:val="00A8529A"/>
    <w:rsid w:val="00B10B80"/>
    <w:rsid w:val="00B11AA3"/>
    <w:rsid w:val="00B23E1C"/>
    <w:rsid w:val="00B65C8B"/>
    <w:rsid w:val="00B83C14"/>
    <w:rsid w:val="00B97BD0"/>
    <w:rsid w:val="00B97E23"/>
    <w:rsid w:val="00BC447C"/>
    <w:rsid w:val="00BE6421"/>
    <w:rsid w:val="00C06806"/>
    <w:rsid w:val="00C22CFE"/>
    <w:rsid w:val="00C33400"/>
    <w:rsid w:val="00C733E8"/>
    <w:rsid w:val="00C8391F"/>
    <w:rsid w:val="00CE19DF"/>
    <w:rsid w:val="00CE3E91"/>
    <w:rsid w:val="00D1381A"/>
    <w:rsid w:val="00D275E3"/>
    <w:rsid w:val="00D52D29"/>
    <w:rsid w:val="00D70EDC"/>
    <w:rsid w:val="00D82FE4"/>
    <w:rsid w:val="00DF4283"/>
    <w:rsid w:val="00E02D79"/>
    <w:rsid w:val="00E06FB1"/>
    <w:rsid w:val="00E426F5"/>
    <w:rsid w:val="00E71119"/>
    <w:rsid w:val="00E71893"/>
    <w:rsid w:val="00E95279"/>
    <w:rsid w:val="00EA07C7"/>
    <w:rsid w:val="00EA2E05"/>
    <w:rsid w:val="00EA7FC7"/>
    <w:rsid w:val="00EC4B4F"/>
    <w:rsid w:val="00F30B2A"/>
    <w:rsid w:val="00F30E2F"/>
    <w:rsid w:val="00F867D3"/>
    <w:rsid w:val="00F86D43"/>
    <w:rsid w:val="00FB5B59"/>
    <w:rsid w:val="00FD41A9"/>
    <w:rsid w:val="00FF266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0FA7"/>
    <w:pPr>
      <w:ind w:left="720"/>
      <w:contextualSpacing/>
    </w:pPr>
  </w:style>
  <w:style w:type="paragraph" w:styleId="Sansinterligne">
    <w:name w:val="No Spacing"/>
    <w:uiPriority w:val="1"/>
    <w:qFormat/>
    <w:rsid w:val="004F0266"/>
    <w:pPr>
      <w:spacing w:after="0" w:line="240" w:lineRule="auto"/>
    </w:pPr>
    <w:rPr>
      <w:rFonts w:ascii="Calibri" w:eastAsia="Calibri" w:hAnsi="Calibri" w:cs="Arial"/>
    </w:rPr>
  </w:style>
  <w:style w:type="paragraph" w:styleId="Textedebulles">
    <w:name w:val="Balloon Text"/>
    <w:basedOn w:val="Normal"/>
    <w:link w:val="TextedebullesCar"/>
    <w:uiPriority w:val="99"/>
    <w:semiHidden/>
    <w:unhideWhenUsed/>
    <w:rsid w:val="006433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33A0"/>
    <w:rPr>
      <w:rFonts w:ascii="Tahoma" w:hAnsi="Tahoma" w:cs="Tahoma"/>
      <w:sz w:val="16"/>
      <w:szCs w:val="16"/>
    </w:rPr>
  </w:style>
  <w:style w:type="paragraph" w:styleId="En-tte">
    <w:name w:val="header"/>
    <w:basedOn w:val="Normal"/>
    <w:link w:val="En-tteCar"/>
    <w:uiPriority w:val="99"/>
    <w:unhideWhenUsed/>
    <w:rsid w:val="008B6571"/>
    <w:pPr>
      <w:tabs>
        <w:tab w:val="center" w:pos="4536"/>
        <w:tab w:val="right" w:pos="9072"/>
      </w:tabs>
      <w:spacing w:after="0" w:line="240" w:lineRule="auto"/>
    </w:pPr>
  </w:style>
  <w:style w:type="character" w:customStyle="1" w:styleId="En-tteCar">
    <w:name w:val="En-tête Car"/>
    <w:basedOn w:val="Policepardfaut"/>
    <w:link w:val="En-tte"/>
    <w:uiPriority w:val="99"/>
    <w:rsid w:val="008B6571"/>
  </w:style>
  <w:style w:type="paragraph" w:styleId="Pieddepage">
    <w:name w:val="footer"/>
    <w:basedOn w:val="Normal"/>
    <w:link w:val="PieddepageCar"/>
    <w:uiPriority w:val="99"/>
    <w:unhideWhenUsed/>
    <w:rsid w:val="008B65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6571"/>
  </w:style>
  <w:style w:type="table" w:styleId="Grilledutableau">
    <w:name w:val="Table Grid"/>
    <w:basedOn w:val="TableauNormal"/>
    <w:uiPriority w:val="39"/>
    <w:rsid w:val="00E06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4EA633C8E34C99B0749DB12A4DE35E"/>
        <w:category>
          <w:name w:val="Général"/>
          <w:gallery w:val="placeholder"/>
        </w:category>
        <w:types>
          <w:type w:val="bbPlcHdr"/>
        </w:types>
        <w:behaviors>
          <w:behavior w:val="content"/>
        </w:behaviors>
        <w:guid w:val="{33E06D2C-BEB6-4854-816C-B97841E688E6}"/>
      </w:docPartPr>
      <w:docPartBody>
        <w:p w:rsidR="009F5D9F" w:rsidRDefault="005E0F9E" w:rsidP="005E0F9E">
          <w:pPr>
            <w:pStyle w:val="6A4EA633C8E34C99B0749DB12A4DE35E"/>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9E"/>
    <w:rsid w:val="00200533"/>
    <w:rsid w:val="005E0F9E"/>
    <w:rsid w:val="00801C49"/>
    <w:rsid w:val="0082300B"/>
    <w:rsid w:val="009F5D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4EA633C8E34C99B0749DB12A4DE35E">
    <w:name w:val="6A4EA633C8E34C99B0749DB12A4DE35E"/>
    <w:rsid w:val="005E0F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4EA633C8E34C99B0749DB12A4DE35E">
    <w:name w:val="6A4EA633C8E34C99B0749DB12A4DE35E"/>
    <w:rsid w:val="005E0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1897</TotalTime>
  <Pages>21</Pages>
  <Words>6950</Words>
  <Characters>38227</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Ayed Houria                                   Prise en charge de la Polyarthrite Rhumatoïde         </vt:lpstr>
    </vt:vector>
  </TitlesOfParts>
  <Company/>
  <LinksUpToDate>false</LinksUpToDate>
  <CharactersWithSpaces>45087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Ayed Houria                                   Prise en charge de la Polyarthrite Rhumatoïde         </dc:title>
  <dc:creator>imanou</dc:creator>
  <cp:lastModifiedBy>Utilisateur Windows</cp:lastModifiedBy>
  <cp:revision>60</cp:revision>
  <dcterms:created xsi:type="dcterms:W3CDTF">2019-01-28T06:06:00Z</dcterms:created>
  <dcterms:modified xsi:type="dcterms:W3CDTF">2020-04-25T14:57:00Z</dcterms:modified>
</cp:coreProperties>
</file>