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Pr="00CE3851" w:rsidRDefault="00CE3851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36"/>
          <w:szCs w:val="36"/>
        </w:rPr>
      </w:pPr>
      <w:r w:rsidRPr="00CE3851">
        <w:rPr>
          <w:rFonts w:ascii="Formata" w:hAnsi="Formata" w:cs="Formata"/>
          <w:color w:val="2A2829"/>
          <w:sz w:val="36"/>
          <w:szCs w:val="36"/>
        </w:rPr>
        <w:t xml:space="preserve">Faculté  de médecine d’Annaba </w:t>
      </w:r>
    </w:p>
    <w:p w:rsidR="00CE3851" w:rsidRPr="00CE3851" w:rsidRDefault="00CE3851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36"/>
          <w:szCs w:val="36"/>
        </w:rPr>
      </w:pPr>
      <w:r w:rsidRPr="00CE3851">
        <w:rPr>
          <w:rFonts w:ascii="Formata" w:hAnsi="Formata" w:cs="Formata"/>
          <w:color w:val="2A2829"/>
          <w:sz w:val="36"/>
          <w:szCs w:val="36"/>
        </w:rPr>
        <w:t xml:space="preserve">Module de cardiologie </w:t>
      </w:r>
    </w:p>
    <w:p w:rsidR="00CE3851" w:rsidRPr="00CE3851" w:rsidRDefault="00CE3851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36"/>
          <w:szCs w:val="36"/>
        </w:rPr>
      </w:pPr>
      <w:r w:rsidRPr="00CE3851">
        <w:rPr>
          <w:rFonts w:ascii="Formata" w:hAnsi="Formata" w:cs="Formata"/>
          <w:color w:val="2A2829"/>
          <w:sz w:val="36"/>
          <w:szCs w:val="36"/>
        </w:rPr>
        <w:t xml:space="preserve">Dr </w:t>
      </w:r>
      <w:proofErr w:type="spellStart"/>
      <w:r w:rsidRPr="00CE3851">
        <w:rPr>
          <w:rFonts w:ascii="Formata" w:hAnsi="Formata" w:cs="Formata"/>
          <w:color w:val="2A2829"/>
          <w:sz w:val="36"/>
          <w:szCs w:val="36"/>
        </w:rPr>
        <w:t>Aouissi</w:t>
      </w:r>
      <w:proofErr w:type="spellEnd"/>
      <w:r w:rsidRPr="00CE3851">
        <w:rPr>
          <w:rFonts w:ascii="Formata" w:hAnsi="Formata" w:cs="Formata"/>
          <w:color w:val="2A2829"/>
          <w:sz w:val="36"/>
          <w:szCs w:val="36"/>
        </w:rPr>
        <w:t xml:space="preserve"> M .</w:t>
      </w:r>
      <w:proofErr w:type="spellStart"/>
      <w:r w:rsidRPr="00CE3851">
        <w:rPr>
          <w:rFonts w:ascii="Formata" w:hAnsi="Formata" w:cs="Formata"/>
          <w:color w:val="2A2829"/>
          <w:sz w:val="36"/>
          <w:szCs w:val="36"/>
        </w:rPr>
        <w:t>Oualid</w:t>
      </w:r>
      <w:proofErr w:type="spellEnd"/>
      <w:r w:rsidRPr="00CE3851">
        <w:rPr>
          <w:rFonts w:ascii="Formata" w:hAnsi="Formata" w:cs="Formata"/>
          <w:color w:val="2A2829"/>
          <w:sz w:val="36"/>
          <w:szCs w:val="36"/>
        </w:rPr>
        <w:t xml:space="preserve"> </w:t>
      </w: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Pr="0073798E" w:rsidRDefault="0073798E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48"/>
          <w:szCs w:val="52"/>
        </w:rPr>
      </w:pPr>
      <w:r w:rsidRPr="0073798E">
        <w:rPr>
          <w:rFonts w:ascii="Times New Roman" w:hAnsi="Times New Roman" w:cs="FormataMed-Medium"/>
          <w:b/>
          <w:color w:val="2A2829"/>
          <w:sz w:val="48"/>
          <w:szCs w:val="52"/>
        </w:rPr>
        <w:t>Les SCA  SANS SUS-DÉCALAGE DE ST </w:t>
      </w: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164FA" w:rsidRDefault="00A164FA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47DD0" w:rsidRPr="00A164FA" w:rsidRDefault="00A47DD0" w:rsidP="00A164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ormataLight-Light" w:eastAsia="FormataLight-Light" w:hAnsi="FormataMed-Medium" w:cs="FormataLight-Light"/>
          <w:color w:val="2A2829"/>
          <w:sz w:val="19"/>
          <w:szCs w:val="19"/>
        </w:rPr>
      </w:pPr>
      <w:r w:rsidRPr="00A164FA">
        <w:rPr>
          <w:rFonts w:ascii="Times New Roman" w:hAnsi="Times New Roman" w:cs="FormataMed-Medium"/>
          <w:b/>
          <w:color w:val="2A2829"/>
          <w:sz w:val="32"/>
          <w:szCs w:val="32"/>
        </w:rPr>
        <w:t>DÉFINITION DES SYNDROMES CORONAIRES</w:t>
      </w:r>
      <w:r w:rsidRPr="00A164FA">
        <w:rPr>
          <w:rFonts w:ascii="FormataMed-Medium" w:hAnsi="FormataMed-Medium" w:cs="FormataMed-Medium"/>
          <w:color w:val="2A2829"/>
          <w:sz w:val="32"/>
          <w:szCs w:val="32"/>
        </w:rPr>
        <w:t xml:space="preserve"> </w:t>
      </w: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A47DD0" w:rsidRP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>Les SCA sont les conséquences de lésions instables. Ils traduisent une ischémie</w:t>
      </w: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>myocardique</w:t>
      </w:r>
      <w:proofErr w:type="gramEnd"/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aigue. </w:t>
      </w:r>
    </w:p>
    <w:p w:rsidR="00A47DD0" w:rsidRP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>Le pronostic immédiat est lie au risque de mort subite par</w:t>
      </w:r>
    </w:p>
    <w:p w:rsidR="00A164FA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trouble</w:t>
      </w:r>
      <w:proofErr w:type="gramEnd"/>
      <w:r w:rsidRPr="00A47DD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du rythme.</w:t>
      </w: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73798E" w:rsidRDefault="0073798E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A164FA" w:rsidRPr="00A164FA" w:rsidRDefault="00A47DD0" w:rsidP="00A164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b/>
          <w:color w:val="2A2829"/>
          <w:sz w:val="32"/>
          <w:szCs w:val="32"/>
        </w:rPr>
      </w:pPr>
      <w:r w:rsidRPr="00A164FA">
        <w:rPr>
          <w:rFonts w:ascii="Times New Roman" w:hAnsi="Times New Roman" w:cs="FormataMed-Medium"/>
          <w:b/>
          <w:color w:val="2A2829"/>
          <w:sz w:val="32"/>
          <w:szCs w:val="32"/>
        </w:rPr>
        <w:t xml:space="preserve">Classification des SCA :( </w:t>
      </w:r>
      <w:proofErr w:type="spellStart"/>
      <w:r w:rsidRPr="00A164FA">
        <w:rPr>
          <w:rFonts w:ascii="Times New Roman" w:hAnsi="Times New Roman" w:cs="FormataMed-Medium"/>
          <w:b/>
          <w:color w:val="2A2829"/>
          <w:sz w:val="32"/>
          <w:szCs w:val="32"/>
        </w:rPr>
        <w:t>fig</w:t>
      </w:r>
      <w:proofErr w:type="spellEnd"/>
      <w:r w:rsidRPr="00A164FA">
        <w:rPr>
          <w:rFonts w:ascii="Times New Roman" w:hAnsi="Times New Roman" w:cs="FormataMed-Medium"/>
          <w:b/>
          <w:color w:val="2A2829"/>
          <w:sz w:val="32"/>
          <w:szCs w:val="32"/>
        </w:rPr>
        <w:t xml:space="preserve"> 1 ,2) </w:t>
      </w:r>
    </w:p>
    <w:p w:rsidR="00A164FA" w:rsidRDefault="00A164FA" w:rsidP="00A164FA">
      <w:pPr>
        <w:autoSpaceDE w:val="0"/>
        <w:autoSpaceDN w:val="0"/>
        <w:adjustRightInd w:val="0"/>
        <w:spacing w:after="0" w:line="240" w:lineRule="auto"/>
        <w:rPr>
          <w:rFonts w:ascii="FormataLight-Light" w:eastAsia="FormataLight-Light" w:hAnsi="FormataMed-Medium" w:cs="FormataLight-Light"/>
          <w:color w:val="2A2829"/>
          <w:sz w:val="19"/>
          <w:szCs w:val="19"/>
        </w:rPr>
      </w:pPr>
      <w:r>
        <w:rPr>
          <w:rFonts w:ascii="Times New Roman" w:hAnsi="Times New Roman" w:cs="FormataMed-Medium"/>
          <w:b/>
          <w:noProof/>
          <w:color w:val="2A2829"/>
          <w:sz w:val="32"/>
          <w:szCs w:val="32"/>
          <w:lang w:eastAsia="fr-FR"/>
        </w:rPr>
        <w:drawing>
          <wp:inline distT="0" distB="0" distL="0" distR="0">
            <wp:extent cx="4733925" cy="3387506"/>
            <wp:effectExtent l="19050" t="0" r="9525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77" t="-1765" r="6238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25" cy="338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D0" w:rsidRPr="00A164FA" w:rsidRDefault="00A164FA" w:rsidP="00A164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ormataLight-Light" w:eastAsia="FormataLight-Light" w:hAnsi="FormataMed-Medium" w:cs="FormataLight-Light"/>
          <w:color w:val="2A2829"/>
          <w:sz w:val="19"/>
          <w:szCs w:val="19"/>
        </w:rPr>
      </w:pPr>
      <w:r>
        <w:rPr>
          <w:rFonts w:ascii="Times New Roman" w:hAnsi="Times New Roman" w:cs="FormataMed-Medium"/>
          <w:b/>
          <w:color w:val="2A2829"/>
          <w:sz w:val="28"/>
          <w:szCs w:val="32"/>
        </w:rPr>
        <w:lastRenderedPageBreak/>
        <w:t xml:space="preserve">SCA </w:t>
      </w:r>
      <w:r w:rsidRPr="00A164FA">
        <w:rPr>
          <w:rFonts w:ascii="Times New Roman" w:hAnsi="Times New Roman" w:cs="FormataMed-Medium"/>
          <w:b/>
          <w:color w:val="2A2829"/>
          <w:sz w:val="28"/>
          <w:szCs w:val="32"/>
        </w:rPr>
        <w:t xml:space="preserve"> SANS SUS-DÉCALAGE DE ST</w:t>
      </w:r>
      <w:r>
        <w:rPr>
          <w:rFonts w:ascii="Times New Roman" w:hAnsi="Times New Roman" w:cs="FormataMed-Medium"/>
          <w:b/>
          <w:color w:val="2A2829"/>
          <w:sz w:val="28"/>
          <w:szCs w:val="32"/>
        </w:rPr>
        <w:t> :</w:t>
      </w:r>
    </w:p>
    <w:p w:rsidR="00A164FA" w:rsidRDefault="00A164FA" w:rsidP="00A164FA">
      <w:pPr>
        <w:autoSpaceDE w:val="0"/>
        <w:autoSpaceDN w:val="0"/>
        <w:adjustRightInd w:val="0"/>
        <w:spacing w:after="0" w:line="240" w:lineRule="auto"/>
        <w:ind w:left="1080"/>
        <w:rPr>
          <w:rFonts w:ascii="FormataLight-Light" w:eastAsia="FormataLight-Light" w:hAnsi="FormataMed-Medium" w:cs="FormataLight-Light"/>
          <w:color w:val="2A2829"/>
          <w:sz w:val="19"/>
          <w:szCs w:val="19"/>
        </w:rPr>
      </w:pPr>
    </w:p>
    <w:p w:rsidR="00A164FA" w:rsidRPr="00A164FA" w:rsidRDefault="00A164FA" w:rsidP="00A164FA">
      <w:pPr>
        <w:autoSpaceDE w:val="0"/>
        <w:autoSpaceDN w:val="0"/>
        <w:adjustRightInd w:val="0"/>
        <w:spacing w:after="0" w:line="240" w:lineRule="auto"/>
        <w:rPr>
          <w:rFonts w:ascii="FormataLight-Light" w:eastAsia="FormataLight-Light" w:hAnsi="FormataMed-Medium" w:cs="FormataLight-Light"/>
          <w:color w:val="2A2829"/>
          <w:sz w:val="19"/>
          <w:szCs w:val="19"/>
        </w:rPr>
      </w:pPr>
    </w:p>
    <w:p w:rsidR="00A164FA" w:rsidRPr="00ED4286" w:rsidRDefault="00A164FA" w:rsidP="00ED428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b/>
          <w:color w:val="2A2829"/>
          <w:sz w:val="28"/>
          <w:szCs w:val="32"/>
        </w:rPr>
      </w:pPr>
      <w:r w:rsidRPr="00ED4286">
        <w:rPr>
          <w:rFonts w:ascii="Times New Roman" w:hAnsi="Times New Roman" w:cs="FormataMed-Medium"/>
          <w:b/>
          <w:color w:val="2A2829"/>
          <w:sz w:val="28"/>
          <w:szCs w:val="32"/>
        </w:rPr>
        <w:t>Généralités</w:t>
      </w:r>
    </w:p>
    <w:p w:rsidR="00A164FA" w:rsidRPr="00ED4286" w:rsidRDefault="00A164FA" w:rsidP="00ED42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ED4286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Nosologie</w:t>
      </w:r>
    </w:p>
    <w:p w:rsidR="00A164FA" w:rsidRPr="00A164FA" w:rsidRDefault="00A164FA" w:rsidP="00A164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angor instable (AI) et l</w:t>
      </w:r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infarctus du myocarde sans sus-</w:t>
      </w:r>
      <w:proofErr w:type="spellStart"/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decalage</w:t>
      </w:r>
      <w:proofErr w:type="spellEnd"/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persistant du segment</w:t>
      </w:r>
    </w:p>
    <w:p w:rsidR="00A164FA" w:rsidRPr="00A164FA" w:rsidRDefault="00A164FA" w:rsidP="00A164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ST (IDM non ST</w:t>
      </w:r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ou sans onde Q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) sont regroupes sous la 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dénomination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syndromes coronaires</w:t>
      </w:r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aigus (SCA) sans sus-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décalage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(ou 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élévation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) du segment ST (SCA non ST).</w:t>
      </w:r>
    </w:p>
    <w:p w:rsidR="00ED4286" w:rsidRDefault="00ED4286" w:rsidP="00A164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A164FA" w:rsidRDefault="00A164FA" w:rsidP="00A164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IDM non ST est 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défini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par la mise en 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évidence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</w:t>
      </w:r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une </w:t>
      </w:r>
      <w:r w:rsidR="00ED4286"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élévation</w:t>
      </w:r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la </w:t>
      </w:r>
      <w:proofErr w:type="spellStart"/>
      <w:r w:rsidRPr="00A164FA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troponinemie</w:t>
      </w:r>
      <w:proofErr w:type="spellEnd"/>
      <w:r w:rsid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ED4286" w:rsidRPr="00ED4286" w:rsidRDefault="00ED4286" w:rsidP="00A164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ED4286" w:rsidRDefault="00ED4286" w:rsidP="00ED42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Cs/>
          <w:color w:val="2A2829"/>
          <w:sz w:val="28"/>
          <w:szCs w:val="28"/>
        </w:rPr>
      </w:pPr>
      <w:r w:rsidRPr="00ED4286">
        <w:rPr>
          <w:rFonts w:ascii="Times New Roman" w:hAnsi="Times New Roman" w:cs="FormataMed-MediumItalic"/>
          <w:b/>
          <w:iCs/>
          <w:color w:val="2A2829"/>
          <w:sz w:val="28"/>
          <w:szCs w:val="28"/>
        </w:rPr>
        <w:t>Physiopathologie</w:t>
      </w:r>
      <w:r w:rsidR="00446A8D">
        <w:rPr>
          <w:rFonts w:ascii="Times New Roman" w:hAnsi="Times New Roman" w:cs="FormataMed-MediumItalic"/>
          <w:b/>
          <w:iCs/>
          <w:color w:val="2A2829"/>
          <w:sz w:val="28"/>
          <w:szCs w:val="28"/>
        </w:rPr>
        <w:t> :</w:t>
      </w:r>
    </w:p>
    <w:p w:rsidR="00446A8D" w:rsidRPr="00446A8D" w:rsidRDefault="00446A8D" w:rsidP="00446A8D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FormataMed-MediumItalic"/>
          <w:b/>
          <w:iCs/>
          <w:color w:val="2A2829"/>
          <w:sz w:val="28"/>
          <w:szCs w:val="28"/>
        </w:rPr>
      </w:pPr>
    </w:p>
    <w:p w:rsidR="00ED4286" w:rsidRPr="00ED4286" w:rsidRDefault="00ED4286" w:rsidP="00ED428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La rupture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plaque athéromateuse (vulnérable car inflammatoire) induit</w:t>
      </w:r>
    </w:p>
    <w:p w:rsidR="00ED4286" w:rsidRPr="00ED4286" w:rsidRDefault="00446A8D" w:rsidP="00ED428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</w:t>
      </w:r>
      <w:r w:rsidR="00ED4286"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réaction thrombotique locale (initialement une activation des plaquettes).</w:t>
      </w:r>
    </w:p>
    <w:p w:rsidR="00ED4286" w:rsidRPr="00ED4286" w:rsidRDefault="00ED4286" w:rsidP="00ED428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Le thrombus peut </w:t>
      </w:r>
      <w:r w:rsidR="00446A8D"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éventuellement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se fragmenter.</w:t>
      </w:r>
    </w:p>
    <w:p w:rsidR="00ED4286" w:rsidRDefault="00ED4286" w:rsidP="00ED428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Les fragments migrent alors vers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aval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artère coronaire concernée (embolies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capillaires) </w:t>
      </w:r>
      <w:r w:rsid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à 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ED4286">
        <w:rPr>
          <w:rFonts w:ascii="Times New Roman" w:eastAsia="FormataLight-Light" w:hAnsi="Times New Roman" w:cs="FormataLight-Light"/>
          <w:color w:val="2A2829"/>
          <w:sz w:val="24"/>
          <w:szCs w:val="19"/>
        </w:rPr>
        <w:t>origine de la constitut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ion de foyers de micro-</w:t>
      </w:r>
      <w:proofErr w:type="gram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nécrose(</w:t>
      </w:r>
      <w:proofErr w:type="gram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élévation des 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troponines</w:t>
      </w:r>
      <w:proofErr w:type="spell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)</w:t>
      </w:r>
      <w:r w:rsid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446A8D" w:rsidRDefault="00446A8D" w:rsidP="00ED428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446A8D" w:rsidRPr="00446A8D" w:rsidRDefault="00446A8D" w:rsidP="00446A8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b/>
          <w:color w:val="2A2829"/>
          <w:sz w:val="28"/>
          <w:szCs w:val="32"/>
        </w:rPr>
      </w:pPr>
      <w:r w:rsidRPr="00446A8D">
        <w:rPr>
          <w:rFonts w:ascii="Times New Roman" w:hAnsi="Times New Roman" w:cs="FormataMed-Medium"/>
          <w:b/>
          <w:color w:val="2A2829"/>
          <w:sz w:val="28"/>
          <w:szCs w:val="32"/>
        </w:rPr>
        <w:t>Diagnostic d’un SCA non ST</w:t>
      </w:r>
    </w:p>
    <w:p w:rsidR="00446A8D" w:rsidRPr="00414E26" w:rsidRDefault="00446A8D" w:rsidP="00414E2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414E26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Signes fonctionnels</w:t>
      </w:r>
    </w:p>
    <w:p w:rsidR="00446A8D" w:rsidRDefault="00446A8D" w:rsidP="00446A8D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Les </w:t>
      </w:r>
      <w:proofErr w:type="spellStart"/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caracteristiques</w:t>
      </w:r>
      <w:proofErr w:type="spellEnd"/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la douleur angineuse (ou de ses </w:t>
      </w:r>
      <w:r w:rsidR="00414E26"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équivalents</w:t>
      </w: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) sont les</w:t>
      </w:r>
      <w:r w:rsid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414E26"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mêmes</w:t>
      </w: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que dans l</w:t>
      </w:r>
      <w:r w:rsid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angor stable. En revanche, les circonstances de survenue</w:t>
      </w:r>
      <w:r w:rsid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sont </w:t>
      </w:r>
      <w:r w:rsidR="00414E26"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différentes</w:t>
      </w:r>
      <w:r w:rsidRPr="00446A8D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414E26" w:rsidRDefault="00414E26" w:rsidP="00446A8D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414E26" w:rsidRPr="00414E26" w:rsidRDefault="00414E26" w:rsidP="00414E2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"/>
          <w:b/>
          <w:color w:val="2A2829"/>
          <w:sz w:val="24"/>
          <w:szCs w:val="23"/>
        </w:rPr>
      </w:pPr>
      <w:r w:rsidRPr="00414E26">
        <w:rPr>
          <w:rFonts w:ascii="Times New Roman" w:hAnsi="Times New Roman" w:cs="Formata"/>
          <w:b/>
          <w:color w:val="2A2829"/>
          <w:sz w:val="24"/>
          <w:szCs w:val="23"/>
        </w:rPr>
        <w:t>Diagnostic</w:t>
      </w:r>
      <w:r w:rsidR="00DB3A83">
        <w:rPr>
          <w:rFonts w:ascii="Times New Roman" w:hAnsi="Times New Roman" w:cs="Formata"/>
          <w:b/>
          <w:color w:val="2A2829"/>
          <w:sz w:val="24"/>
          <w:szCs w:val="23"/>
        </w:rPr>
        <w:t> :</w:t>
      </w:r>
    </w:p>
    <w:p w:rsidR="00414E26" w:rsidRPr="00414E26" w:rsidRDefault="00414E26" w:rsidP="00414E26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peut être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’emblée évoqué devant un(e)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:</w:t>
      </w:r>
    </w:p>
    <w:p w:rsidR="00414E26" w:rsidRDefault="00414E26" w:rsidP="00414E2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Angor spontané prolonge (</w:t>
      </w:r>
      <w:r w:rsidRPr="00414E26">
        <w:rPr>
          <w:rFonts w:ascii="Times New Roman" w:eastAsia="TT40F1o00" w:hAnsi="Times New Roman" w:cs="TT40F1o00"/>
          <w:color w:val="2A2829"/>
          <w:sz w:val="24"/>
          <w:szCs w:val="19"/>
        </w:rPr>
        <w:t xml:space="preserve">&gt;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20 min), régressif spontanément ou après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absorption de trinitrine subling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uale (en particulier nocturne)</w:t>
      </w:r>
    </w:p>
    <w:p w:rsidR="00414E26" w:rsidRDefault="00414E26" w:rsidP="00414E2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A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ngor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effort sévère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14E26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de novo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(inaugural et décrit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depuis moins d’un mois) en particulier </w:t>
      </w:r>
      <w:r w:rsidRPr="00414E26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crescendo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(efforts de plus en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plus faibles).</w:t>
      </w:r>
    </w:p>
    <w:p w:rsidR="00414E26" w:rsidRDefault="00414E26" w:rsidP="00414E2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ggravation récente d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un angor jusque-là stable (angor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effort ancien)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mais qui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survient depuis peu pour des efforts moins importants (diminution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du seuil </w:t>
      </w:r>
      <w:r w:rsidR="00DB3A83"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ischémique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), ou qui cède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plus lentement a l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DB3A83"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>arrêt</w:t>
      </w:r>
      <w:r w:rsidRPr="00414E26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effort (ou </w:t>
      </w:r>
      <w:r w:rsidR="00DB3A83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après</w:t>
      </w:r>
      <w:r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prise de t</w:t>
      </w:r>
      <w:r w:rsid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rinitrine sublinguale)</w:t>
      </w:r>
    </w:p>
    <w:p w:rsidR="00414E26" w:rsidRDefault="00DB3A83" w:rsidP="00414E2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A</w:t>
      </w:r>
      <w:r w:rsidR="00414E26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ngor apparaissant moins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414E26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un mois </w:t>
      </w:r>
      <w:r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après</w:t>
      </w:r>
      <w:r w:rsidR="00414E26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la constitution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414E26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un IDM.</w:t>
      </w:r>
    </w:p>
    <w:p w:rsidR="00DB3A83" w:rsidRDefault="00DB3A83" w:rsidP="00DB3A8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DB3A83" w:rsidRDefault="00DB3A83" w:rsidP="00DB3A8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"/>
          <w:b/>
          <w:color w:val="2A2829"/>
          <w:sz w:val="24"/>
          <w:szCs w:val="23"/>
        </w:rPr>
      </w:pPr>
      <w:r w:rsidRPr="00DB3A83">
        <w:rPr>
          <w:rFonts w:ascii="Times New Roman" w:hAnsi="Times New Roman" w:cs="Formata"/>
          <w:b/>
          <w:color w:val="2A2829"/>
          <w:sz w:val="24"/>
          <w:szCs w:val="23"/>
        </w:rPr>
        <w:t>Formes atypiques</w:t>
      </w:r>
      <w:r>
        <w:rPr>
          <w:rFonts w:ascii="Times New Roman" w:hAnsi="Times New Roman" w:cs="Formata"/>
          <w:b/>
          <w:color w:val="2A2829"/>
          <w:sz w:val="24"/>
          <w:szCs w:val="23"/>
        </w:rPr>
        <w:t> :</w:t>
      </w:r>
    </w:p>
    <w:p w:rsidR="00DB3A83" w:rsidRPr="00DB3A83" w:rsidRDefault="00DB3A83" w:rsidP="00DB3A83">
      <w:pPr>
        <w:pStyle w:val="Paragraphedeliste"/>
        <w:autoSpaceDE w:val="0"/>
        <w:autoSpaceDN w:val="0"/>
        <w:adjustRightInd w:val="0"/>
        <w:spacing w:after="0" w:line="240" w:lineRule="auto"/>
        <w:ind w:left="1485"/>
        <w:rPr>
          <w:rFonts w:ascii="Times New Roman" w:hAnsi="Times New Roman" w:cs="Formata"/>
          <w:b/>
          <w:color w:val="2A2829"/>
          <w:sz w:val="24"/>
          <w:szCs w:val="23"/>
        </w:rPr>
      </w:pPr>
    </w:p>
    <w:p w:rsidR="00F65753" w:rsidRDefault="00DB3A83" w:rsidP="00F6575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La douleur est épigastrique</w:t>
      </w:r>
      <w:r w:rsid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repos</w:t>
      </w:r>
    </w:p>
    <w:p w:rsidR="00F65753" w:rsidRDefault="00F65753" w:rsidP="00F6575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T</w:t>
      </w:r>
      <w:r w:rsidR="00DB3A83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horacique en coup de couteau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DB3A83" w:rsidRPr="00DB3A83">
        <w:rPr>
          <w:rFonts w:ascii="Times New Roman" w:eastAsia="FormataLight-Light" w:hAnsi="Times New Roman" w:cs="FormataLight-Light"/>
          <w:color w:val="2A2829"/>
          <w:sz w:val="24"/>
          <w:szCs w:val="19"/>
        </w:rPr>
        <w:t>pseudo-pleurétique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F65753" w:rsidRPr="00F65753" w:rsidRDefault="00F65753" w:rsidP="00F6575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"/>
          <w:b/>
          <w:color w:val="2A2829"/>
          <w:sz w:val="24"/>
          <w:szCs w:val="23"/>
        </w:rPr>
      </w:pPr>
      <w:r w:rsidRPr="00F65753">
        <w:rPr>
          <w:rFonts w:ascii="Times New Roman" w:hAnsi="Times New Roman" w:cs="Formata"/>
          <w:b/>
          <w:color w:val="2A2829"/>
          <w:sz w:val="24"/>
          <w:szCs w:val="23"/>
        </w:rPr>
        <w:t>Terrain prédisposant</w:t>
      </w:r>
    </w:p>
    <w:p w:rsid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angor survient:</w:t>
      </w:r>
    </w:p>
    <w:p w:rsidR="00F65753" w:rsidRPr="00F65753" w:rsidRDefault="00F65753" w:rsidP="00F6575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en règle chez un patient présentant des facteurs de risque de l’athérosclérose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(Age, sexe, diabète, insuffisance rénale, dyslipidémie, HTA, intoxication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tabagique, surcharge pondérale, sédentarité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)</w:t>
      </w:r>
    </w:p>
    <w:p w:rsidR="00A47DD0" w:rsidRPr="00F65753" w:rsidRDefault="00F65753" w:rsidP="00F6575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éventuellement en cas de lésions athéromateuses connues (en particulier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antécédents coronaires).</w:t>
      </w: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A47DD0" w:rsidRDefault="00A47DD0" w:rsidP="00A47DD0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</w:p>
    <w:p w:rsidR="00F65753" w:rsidRPr="00F65753" w:rsidRDefault="00F65753" w:rsidP="00F6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iCs/>
          <w:color w:val="2A2829"/>
          <w:sz w:val="24"/>
          <w:szCs w:val="26"/>
        </w:rPr>
      </w:pPr>
      <w:r w:rsidRPr="00F65753">
        <w:rPr>
          <w:rFonts w:ascii="Times New Roman" w:hAnsi="Times New Roman" w:cs="FormataMed-MediumItalic"/>
          <w:b/>
          <w:iCs/>
          <w:color w:val="2A2829"/>
          <w:sz w:val="24"/>
          <w:szCs w:val="26"/>
        </w:rPr>
        <w:lastRenderedPageBreak/>
        <w:t>Examen clinique</w:t>
      </w:r>
      <w:r>
        <w:rPr>
          <w:rFonts w:ascii="Times New Roman" w:hAnsi="Times New Roman" w:cs="FormataMed-MediumItalic"/>
          <w:b/>
          <w:iCs/>
          <w:color w:val="2A2829"/>
          <w:sz w:val="24"/>
          <w:szCs w:val="26"/>
        </w:rPr>
        <w:t> :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est habituellement normal.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permet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éliminer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autres causes cardiaques (péricardite</w:t>
      </w:r>
      <w:r w:rsidRPr="00F65753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…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) ou non cardiaques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(pneumothorax</w:t>
      </w:r>
      <w:r w:rsidRPr="00F65753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…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) de douleurs précordiales.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peut identifier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autres localisations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athérome (souffle vasculaire) </w:t>
      </w:r>
    </w:p>
    <w:p w:rsidR="00A47DD0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recherche des signes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instabilité hémodynamique (râles crépitant, galop).</w:t>
      </w:r>
    </w:p>
    <w:p w:rsid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F65753" w:rsidRPr="00A63274" w:rsidRDefault="00F65753" w:rsidP="00F6575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A63274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Électrocardiogramme</w:t>
      </w:r>
      <w:r w:rsidR="00A63274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 :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ECG 12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dérivations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est l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examen de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première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intention qu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il faut pratiquer des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que le diagnostic est suspecte.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Il doit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être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obtenu moins de 10 minutes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après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 premier contact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médical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lorsque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le patient se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présente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 un service d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urgence (+++).</w:t>
      </w:r>
    </w:p>
    <w:p w:rsidR="00A63274" w:rsidRDefault="00A63274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Il </w:t>
      </w:r>
      <w:r w:rsidR="00F65753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doit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être</w:t>
      </w:r>
      <w:r w:rsidR="00F65753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renouvelé</w:t>
      </w:r>
      <w:r w:rsidR="00F65753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et </w:t>
      </w:r>
      <w:r w:rsidR="00F65753" w:rsidRPr="00F65753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comparé </w:t>
      </w:r>
      <w:r w:rsidR="00F65753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si possible a un trace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antérieur</w:t>
      </w:r>
      <w:r w:rsidR="00F65753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. </w:t>
      </w:r>
    </w:p>
    <w:p w:rsidR="00F65753" w:rsidRP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Il est recommande de le renouveler de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manière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systématique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heures plus tard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ou à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occasion d</w:t>
      </w:r>
      <w:r w:rsid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une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éventuelle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A63274"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>récidive</w:t>
      </w:r>
      <w:r w:rsidRPr="00F65753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douloureuse.</w:t>
      </w:r>
    </w:p>
    <w:p w:rsidR="00F65753" w:rsidRDefault="00F65753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 xml:space="preserve">La mise en </w:t>
      </w:r>
      <w:r w:rsidR="00A63274"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évidence</w:t>
      </w:r>
      <w:r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 xml:space="preserve"> de </w:t>
      </w:r>
      <w:r w:rsidRPr="00A63274">
        <w:rPr>
          <w:rFonts w:ascii="Times New Roman" w:hAnsi="Times New Roman" w:cs="FormataLight-LightItalic"/>
          <w:b/>
          <w:i/>
          <w:iCs/>
          <w:color w:val="2A2829"/>
          <w:sz w:val="24"/>
          <w:szCs w:val="19"/>
        </w:rPr>
        <w:t xml:space="preserve">modifications transitoires de la </w:t>
      </w:r>
      <w:proofErr w:type="spellStart"/>
      <w:r w:rsidRPr="00A63274">
        <w:rPr>
          <w:rFonts w:ascii="Times New Roman" w:hAnsi="Times New Roman" w:cs="FormataLight-LightItalic"/>
          <w:b/>
          <w:i/>
          <w:iCs/>
          <w:color w:val="2A2829"/>
          <w:sz w:val="24"/>
          <w:szCs w:val="19"/>
        </w:rPr>
        <w:t>repolarisation</w:t>
      </w:r>
      <w:proofErr w:type="spellEnd"/>
      <w:r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, en particulier</w:t>
      </w:r>
      <w:r w:rsidR="00A63274"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durant une crise, permet de poser le diagnostic.</w:t>
      </w:r>
    </w:p>
    <w:p w:rsidR="00A63274" w:rsidRDefault="00A63274" w:rsidP="00F65753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</w:pPr>
    </w:p>
    <w:p w:rsidR="00A63274" w:rsidRPr="00A63274" w:rsidRDefault="00A63274" w:rsidP="00A6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</w:pPr>
      <w:r w:rsidRPr="00A63274"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  <w:t>Modification ECG per-critique</w:t>
      </w:r>
      <w:r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  <w:t> :</w:t>
      </w:r>
    </w:p>
    <w:p w:rsidR="00A63274" w:rsidRDefault="00A63274" w:rsidP="00A6327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La modification la plus caractéristique est le sous-décalage de ST, horizontal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ou descendant (en particulier </w:t>
      </w:r>
      <w:r w:rsidRPr="00A63274">
        <w:rPr>
          <w:rFonts w:ascii="Times New Roman" w:eastAsia="TT40F1o00" w:hAnsi="Times New Roman" w:cs="TT40F1o00" w:hint="eastAsia"/>
          <w:color w:val="2A2829"/>
          <w:sz w:val="24"/>
          <w:szCs w:val="19"/>
        </w:rPr>
        <w:t>≥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1tmm dans deux dérivations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contigües ou plus).</w:t>
      </w:r>
    </w:p>
    <w:p w:rsidR="00A63274" w:rsidRDefault="00A63274" w:rsidP="00A6327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 sus-décalage de ST horizontal ou convexe vers le haut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transitoire </w:t>
      </w:r>
    </w:p>
    <w:p w:rsidR="00A63274" w:rsidRDefault="00A63274" w:rsidP="00A6327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inversion transitoire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onde T 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a une valeur diagnostique que lorsque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la variation dépasse 1tmm.</w:t>
      </w:r>
    </w:p>
    <w:p w:rsidR="00A63274" w:rsidRDefault="00A63274" w:rsidP="00A6327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gramStart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Le</w:t>
      </w:r>
      <w:proofErr w:type="gramEnd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trace peut rester inchangé durant la crise, 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excluant pas le diagnostic.</w:t>
      </w:r>
    </w:p>
    <w:p w:rsidR="00A63274" w:rsidRPr="00A63274" w:rsidRDefault="00A63274" w:rsidP="00A63274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A63274" w:rsidRPr="00A63274" w:rsidRDefault="00A63274" w:rsidP="00A6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</w:pPr>
      <w:r w:rsidRPr="00A63274"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  <w:t xml:space="preserve">Anomalie ECG </w:t>
      </w:r>
      <w:proofErr w:type="spellStart"/>
      <w:r w:rsidRPr="00A63274"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  <w:t>post-critique</w:t>
      </w:r>
      <w:proofErr w:type="spellEnd"/>
      <w:r w:rsidRPr="00A63274">
        <w:rPr>
          <w:rFonts w:ascii="Times New Roman" w:hAnsi="Times New Roman" w:cs="FormataMed-MediumItalic"/>
          <w:b/>
          <w:i/>
          <w:iCs/>
          <w:color w:val="2A2829"/>
          <w:sz w:val="24"/>
          <w:szCs w:val="21"/>
        </w:rPr>
        <w:t> :</w:t>
      </w:r>
    </w:p>
    <w:p w:rsidR="00A63274" w:rsidRPr="00A63274" w:rsidRDefault="00A63274" w:rsidP="00A63274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Les mêmes anomalies de ST </w:t>
      </w:r>
      <w:proofErr w:type="gramStart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et</w:t>
      </w:r>
      <w:proofErr w:type="gramEnd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T observées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à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distance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crise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douloureuse ont moins de valeur mais peuvent </w:t>
      </w:r>
      <w:r w:rsidR="004662E9"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être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en faveur du diagnostic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après avoir éliminé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les facteurs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confondant (surcharge ventriculaire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gauche, trouble de la conduction </w:t>
      </w:r>
      <w:proofErr w:type="spellStart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intraventriculaire</w:t>
      </w:r>
      <w:proofErr w:type="spellEnd"/>
      <w:r w:rsidRPr="00A63274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…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).</w:t>
      </w:r>
    </w:p>
    <w:p w:rsidR="00A47DD0" w:rsidRDefault="00A63274" w:rsidP="00A63274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A63274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La constatation d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une onde T </w:t>
      </w:r>
      <w:r w:rsidR="004662E9"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négative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profonde </w:t>
      </w:r>
      <w:proofErr w:type="gramStart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et</w:t>
      </w:r>
      <w:proofErr w:type="gramEnd"/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4662E9"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symétrique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dans les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dérivations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antérieures traduit habituellement une sténose sévère de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4662E9"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>artère</w:t>
      </w:r>
      <w:r w:rsidRPr="00A63274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inter ventriculaire antérieure</w:t>
      </w:r>
      <w:r w:rsid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4662E9" w:rsidRDefault="004662E9" w:rsidP="00A63274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4662E9" w:rsidRPr="004662E9" w:rsidRDefault="004662E9" w:rsidP="00A63274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4662E9" w:rsidRPr="004662E9" w:rsidRDefault="004662E9" w:rsidP="004662E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Cs/>
          <w:color w:val="2A2829"/>
          <w:sz w:val="24"/>
          <w:szCs w:val="26"/>
        </w:rPr>
      </w:pPr>
      <w:proofErr w:type="spellStart"/>
      <w:r w:rsidRPr="004662E9">
        <w:rPr>
          <w:rFonts w:ascii="Times New Roman" w:hAnsi="Times New Roman" w:cs="FormataMed-MediumItalic"/>
          <w:b/>
          <w:iCs/>
          <w:color w:val="2A2829"/>
          <w:sz w:val="24"/>
          <w:szCs w:val="26"/>
        </w:rPr>
        <w:t>Troponinémie</w:t>
      </w:r>
      <w:proofErr w:type="spellEnd"/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Les </w:t>
      </w:r>
      <w:proofErr w:type="spell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troponines</w:t>
      </w:r>
      <w:proofErr w:type="spellEnd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T et I sont des marqueurs spécifiques (non enzymatiques) de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la nécrose myocardique.</w:t>
      </w:r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élévation de la </w:t>
      </w:r>
      <w:proofErr w:type="spell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troponinemie</w:t>
      </w:r>
      <w:proofErr w:type="spellEnd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dans les suites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un accident coronaire non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occlusif (en pratique une crise angineuse transitoire) traduit une occlusion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capillaire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origine embolique,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origine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embole étant le thrombus forme au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contact de la plaque athéromateuse rompue.</w:t>
      </w:r>
    </w:p>
    <w:p w:rsid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La </w:t>
      </w:r>
      <w:proofErr w:type="spell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</w:t>
      </w:r>
      <w:proofErr w:type="spellEnd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est détectée dans la circulation 3</w:t>
      </w:r>
      <w:r w:rsidRPr="004662E9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6theures après le début de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épisode ischémique et durant 24-48theures. </w:t>
      </w:r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Le dosage (technique ultrasensible)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doit être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effectue dé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s le premier contact médical, le résultat doit être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rapidement obtenu (</w:t>
      </w:r>
      <w:r w:rsidRPr="004662E9">
        <w:rPr>
          <w:rFonts w:ascii="Times New Roman" w:eastAsia="TT40F1o00" w:hAnsi="Times New Roman" w:cs="TT40F1o00"/>
          <w:color w:val="2A2829"/>
          <w:sz w:val="24"/>
          <w:szCs w:val="19"/>
        </w:rPr>
        <w:t xml:space="preserve">&lt;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60 min après admission) et </w:t>
      </w:r>
      <w:r w:rsidRPr="004662E9">
        <w:rPr>
          <w:rFonts w:ascii="Times New Roman" w:hAnsi="Times New Roman" w:cs="FormataLight-LightItalic"/>
          <w:iCs/>
          <w:color w:val="2A2829"/>
          <w:sz w:val="24"/>
          <w:szCs w:val="19"/>
        </w:rPr>
        <w:t xml:space="preserve">renouvelé 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6 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heures plus</w:t>
      </w:r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tard</w:t>
      </w:r>
      <w:proofErr w:type="gramEnd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et 3</w:t>
      </w:r>
      <w:r w:rsidRPr="004662E9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6theures après une éventuelle récidive douloureuse.</w:t>
      </w:r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Outre son aide au diagnostic (lorsqu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il est cliniquement probable), la </w:t>
      </w:r>
      <w:proofErr w:type="spell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troponinemie</w:t>
      </w:r>
      <w:proofErr w:type="spellEnd"/>
    </w:p>
    <w:p w:rsidR="00A47DD0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a</w:t>
      </w:r>
      <w:proofErr w:type="gramEnd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une valeur pr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onostique. </w:t>
      </w:r>
    </w:p>
    <w:p w:rsid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i/>
          <w:iCs/>
          <w:color w:val="2A2829"/>
          <w:sz w:val="24"/>
          <w:szCs w:val="26"/>
        </w:rPr>
      </w:pPr>
    </w:p>
    <w:p w:rsid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i/>
          <w:iCs/>
          <w:color w:val="2A2829"/>
          <w:sz w:val="24"/>
          <w:szCs w:val="26"/>
        </w:rPr>
      </w:pPr>
    </w:p>
    <w:p w:rsidR="004662E9" w:rsidRPr="004662E9" w:rsidRDefault="004662E9" w:rsidP="004662E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4662E9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lastRenderedPageBreak/>
        <w:t>Échocardiographie</w:t>
      </w:r>
    </w:p>
    <w:p w:rsidR="004662E9" w:rsidRP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Cet examen est recommande pour éliminer les diagnostics différentiels de précordialgies</w:t>
      </w:r>
    </w:p>
    <w:p w:rsidR="004662E9" w:rsidRDefault="004662E9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(syndrome aortique aigu, </w:t>
      </w:r>
      <w:r w:rsidR="00CA2772"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péricardite</w:t>
      </w:r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>, embolie pulmonaire</w:t>
      </w:r>
      <w:r w:rsidRPr="004662E9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…</w:t>
      </w:r>
      <w:proofErr w:type="gramStart"/>
      <w:r w:rsidRPr="004662E9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) </w:t>
      </w:r>
      <w:r w:rsid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  <w:proofErr w:type="gramEnd"/>
    </w:p>
    <w:p w:rsidR="00CA2772" w:rsidRDefault="00CA2772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CA2772" w:rsidRPr="00CA2772" w:rsidRDefault="00CA2772" w:rsidP="00CA277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b/>
          <w:color w:val="2A2829"/>
          <w:sz w:val="28"/>
          <w:szCs w:val="28"/>
        </w:rPr>
      </w:pPr>
      <w:r w:rsidRPr="00CA2772">
        <w:rPr>
          <w:rFonts w:ascii="Times New Roman" w:hAnsi="Times New Roman" w:cs="FormataMed-Medium"/>
          <w:b/>
          <w:color w:val="2A2829"/>
          <w:sz w:val="28"/>
          <w:szCs w:val="28"/>
        </w:rPr>
        <w:t>Diagnostic différentiel :</w:t>
      </w:r>
    </w:p>
    <w:p w:rsidR="00CA2772" w:rsidRPr="00CA2772" w:rsidRDefault="00CA2772" w:rsidP="00CA277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CA2772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Précordialgie</w:t>
      </w:r>
    </w:p>
    <w:p w:rsidR="00CA2772" w:rsidRPr="00CA2772" w:rsidRDefault="00CA2772" w:rsidP="00CA277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precordialgie spontanée transitoire peut avoir une origine pleuro-pulmonaire,</w:t>
      </w:r>
    </w:p>
    <w:p w:rsidR="00CA2772" w:rsidRPr="00CA2772" w:rsidRDefault="00CA2772" w:rsidP="00CA277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thoracique</w:t>
      </w:r>
      <w:proofErr w:type="gramEnd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, gastroduodénale</w:t>
      </w:r>
      <w:r w:rsidRPr="00CA277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…</w:t>
      </w:r>
    </w:p>
    <w:p w:rsidR="00CA2772" w:rsidRPr="00CA2772" w:rsidRDefault="00CA2772" w:rsidP="00CA277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CA2772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Anomalie ECG</w:t>
      </w:r>
    </w:p>
    <w:p w:rsidR="00CA2772" w:rsidRPr="00CA2772" w:rsidRDefault="00CA2772" w:rsidP="00CA277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Les anomalies ECG ne sont pas pathognomoniques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ischémie myocardique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et ce sont les variations per-critiques de la </w:t>
      </w:r>
      <w:proofErr w:type="spellStart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repolarisation</w:t>
      </w:r>
      <w:proofErr w:type="spellEnd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qui ont la valeur diagnostique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plus importante.</w:t>
      </w:r>
    </w:p>
    <w:p w:rsidR="00CA2772" w:rsidRPr="00CA2772" w:rsidRDefault="00CA2772" w:rsidP="00CA277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CA2772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Anomalie biologique</w:t>
      </w:r>
    </w:p>
    <w:p w:rsidR="00CA2772" w:rsidRDefault="00CA2772" w:rsidP="00CA277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Les lésions myocardiques à </w:t>
      </w:r>
      <w:r w:rsidR="00A94AAB"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l’origine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élévation de la </w:t>
      </w:r>
      <w:proofErr w:type="spellStart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troponinemie</w:t>
      </w:r>
      <w:proofErr w:type="spellEnd"/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ne sont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pas toutes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A2772">
        <w:rPr>
          <w:rFonts w:ascii="Times New Roman" w:eastAsia="FormataLight-Light" w:hAnsi="Times New Roman" w:cs="FormataLight-Light"/>
          <w:color w:val="2A2829"/>
          <w:sz w:val="24"/>
          <w:szCs w:val="19"/>
        </w:rPr>
        <w:t>origine ischémique ou secondaires a une embolie capillaire, ce qui</w:t>
      </w:r>
      <w:r w:rsid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limite la valeur diagnostique.</w:t>
      </w:r>
    </w:p>
    <w:p w:rsidR="00A94AAB" w:rsidRPr="00CA2772" w:rsidRDefault="00A94AAB" w:rsidP="00CA277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CA2772" w:rsidRPr="00CA2772" w:rsidRDefault="00CA2772" w:rsidP="004662E9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D871A3" w:rsidRDefault="00A94AAB" w:rsidP="00A47DD0">
      <w:r>
        <w:rPr>
          <w:noProof/>
          <w:lang w:eastAsia="fr-FR"/>
        </w:rPr>
        <w:drawing>
          <wp:inline distT="0" distB="0" distL="0" distR="0">
            <wp:extent cx="4524375" cy="201930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26" t="23292" r="8792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AB" w:rsidRDefault="00A94AAB" w:rsidP="00A47DD0"/>
    <w:p w:rsidR="00A94AAB" w:rsidRPr="00A94AAB" w:rsidRDefault="00A94AAB" w:rsidP="00A94AA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b/>
          <w:color w:val="2A2829"/>
          <w:sz w:val="28"/>
          <w:szCs w:val="28"/>
        </w:rPr>
      </w:pPr>
      <w:r w:rsidRPr="00A94AAB">
        <w:rPr>
          <w:rFonts w:ascii="Times New Roman" w:hAnsi="Times New Roman" w:cs="FormataMed-Medium"/>
          <w:b/>
          <w:color w:val="2A2829"/>
          <w:sz w:val="28"/>
          <w:szCs w:val="28"/>
        </w:rPr>
        <w:t>Pronostic du SCA sans sus-décalage persistant de ST</w:t>
      </w:r>
    </w:p>
    <w:p w:rsidR="00A94AAB" w:rsidRPr="00A94AAB" w:rsidRDefault="00A94AAB" w:rsidP="00A94AA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A94AAB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Généralités</w:t>
      </w:r>
    </w:p>
    <w:p w:rsidR="00A94AAB" w:rsidRPr="00A94AAB" w:rsidRDefault="00A94AAB" w:rsidP="00A94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FormataLight-LightItalic"/>
          <w:i/>
          <w:iCs/>
          <w:color w:val="2A2829"/>
          <w:sz w:val="24"/>
          <w:szCs w:val="19"/>
        </w:rPr>
      </w:pP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Le diagno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stic positif 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est établi </w:t>
      </w:r>
      <w:r w:rsidRPr="00A94AAB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>parallèlement au diagnostic de</w:t>
      </w:r>
      <w:r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 </w:t>
      </w:r>
      <w:r w:rsidRPr="00A94AAB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gravité. Le risque 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de décès ou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évolution occlusive du thrombus doit être évalué</w:t>
      </w:r>
      <w:r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 </w:t>
      </w:r>
      <w:r w:rsidR="0009224C"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à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admission et réévalué lors de la période</w:t>
      </w:r>
    </w:p>
    <w:p w:rsidR="00A94AAB" w:rsidRDefault="00A94AAB" w:rsidP="00A94AAB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d’</w:t>
      </w:r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observation</w:t>
      </w:r>
      <w:proofErr w:type="gramEnd"/>
      <w:r w:rsidRPr="00A94AAB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09224C" w:rsidRDefault="0009224C" w:rsidP="00A94AAB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09224C" w:rsidRPr="0009224C" w:rsidRDefault="0009224C" w:rsidP="0009224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Cs/>
          <w:color w:val="2A2829"/>
          <w:sz w:val="24"/>
          <w:szCs w:val="26"/>
        </w:rPr>
      </w:pPr>
      <w:r w:rsidRPr="0009224C">
        <w:rPr>
          <w:rFonts w:ascii="Times New Roman" w:hAnsi="Times New Roman" w:cs="FormataMed-MediumItalic"/>
          <w:b/>
          <w:iCs/>
          <w:color w:val="2A2829"/>
          <w:sz w:val="24"/>
          <w:szCs w:val="26"/>
        </w:rPr>
        <w:t>Les trois niveaux de risque</w:t>
      </w:r>
    </w:p>
    <w:p w:rsidR="0009224C" w:rsidRPr="0009224C" w:rsidRDefault="0009224C" w:rsidP="0009224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Très haut risque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09224C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(indication de coronarographie immédiate):</w:t>
      </w:r>
    </w:p>
    <w:p w:rsidR="0009224C" w:rsidRP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Angor refractaire (persistant)</w:t>
      </w:r>
    </w:p>
    <w:p w:rsidR="0009224C" w:rsidRP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Angor récidivant malgré un traitement anti-angineux et </w:t>
      </w:r>
      <w:proofErr w:type="spellStart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antithrombotique</w:t>
      </w:r>
      <w:proofErr w:type="spell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optimal avec sous-décalage de ST ou ondes T </w:t>
      </w:r>
      <w:r w:rsidRPr="0009224C">
        <w:rPr>
          <w:rFonts w:ascii="Times New Roman" w:eastAsia="TT40F1o00" w:hAnsi="Times New Roman" w:cs="TT40F1o00"/>
          <w:color w:val="2A2829"/>
          <w:sz w:val="24"/>
          <w:szCs w:val="19"/>
        </w:rPr>
        <w:t>&lt;</w:t>
      </w:r>
      <w:proofErr w:type="gram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0 .</w:t>
      </w:r>
      <w:proofErr w:type="gramEnd"/>
    </w:p>
    <w:p w:rsidR="0009224C" w:rsidRP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Manifestations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insuffisance cardiaque ou instabilité hémodynamique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(choc)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;</w:t>
      </w:r>
    </w:p>
    <w:p w:rsidR="0009224C" w:rsidRP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Arythmie ventriculaire grave (tachycardie ou fibrillation ventriculaires).</w:t>
      </w:r>
    </w:p>
    <w:p w:rsidR="0009224C" w:rsidRPr="0009224C" w:rsidRDefault="0009224C" w:rsidP="0009224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 xml:space="preserve">Haut risque (indication de coronarographie rapide </w:t>
      </w:r>
      <w:r w:rsidRPr="0009224C">
        <w:rPr>
          <w:rFonts w:ascii="Times New Roman" w:eastAsia="TT40F1o00" w:hAnsi="Times New Roman" w:cs="TT40F1o00"/>
          <w:b/>
          <w:color w:val="2A2829"/>
          <w:sz w:val="24"/>
          <w:szCs w:val="19"/>
        </w:rPr>
        <w:t>&lt;</w:t>
      </w:r>
      <w:r w:rsidRPr="0009224C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72 h)</w:t>
      </w:r>
    </w:p>
    <w:p w:rsidR="0009224C" w:rsidRP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T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roponinemie</w:t>
      </w:r>
      <w:proofErr w:type="spellEnd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élevée</w:t>
      </w:r>
    </w:p>
    <w:p w:rsidR="00312412" w:rsidRDefault="0009224C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Variations fluctuantes du segment ST </w:t>
      </w:r>
      <w:proofErr w:type="gramStart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ou</w:t>
      </w:r>
      <w:proofErr w:type="gramEnd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onde Tt.</w:t>
      </w:r>
    </w:p>
    <w:p w:rsidR="0009224C" w:rsidRPr="0009224C" w:rsidRDefault="00312412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lastRenderedPageBreak/>
        <w:t>•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diabète,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insuffisance 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rénale, fraction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d’éjection ventriculaire gauche </w:t>
      </w:r>
      <w:r w:rsidR="0009224C" w:rsidRPr="00312412">
        <w:rPr>
          <w:rFonts w:ascii="Times New Roman" w:eastAsia="TT40F1o00" w:hAnsi="Times New Roman" w:cs="TT40F1o00"/>
          <w:color w:val="2A2829"/>
          <w:sz w:val="24"/>
          <w:szCs w:val="19"/>
        </w:rPr>
        <w:t>&lt;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40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%,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angor post-infarctus 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précoce; antécédent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’IDM</w:t>
      </w:r>
      <w:r w:rsidR="0009224C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;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antécédent</w:t>
      </w:r>
      <w:r w:rsidR="0009224C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09224C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angioplastie coronaire (ICP </w:t>
      </w:r>
      <w:r w:rsidR="0009224C" w:rsidRPr="0009224C">
        <w:rPr>
          <w:rFonts w:ascii="Times New Roman" w:eastAsia="TT40F1o00" w:hAnsi="Times New Roman" w:cs="TT40F1o00"/>
          <w:color w:val="2A2829"/>
          <w:sz w:val="24"/>
          <w:szCs w:val="19"/>
        </w:rPr>
        <w:t>&lt;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6 mois)</w:t>
      </w:r>
      <w:r w:rsidR="0009224C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;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antécédent de pontage</w:t>
      </w:r>
    </w:p>
    <w:p w:rsidR="0009224C" w:rsidRDefault="0009224C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09224C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312412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Risque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312412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intermédiaire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ou </w:t>
      </w:r>
      <w:r w:rsidR="00312412"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élevé</w:t>
      </w:r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suivant le score de gravite </w:t>
      </w:r>
      <w:proofErr w:type="gramStart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>( score</w:t>
      </w:r>
      <w:proofErr w:type="gramEnd"/>
      <w:r w:rsidRPr="0009224C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Grace).</w:t>
      </w:r>
    </w:p>
    <w:p w:rsid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FormataCond-BoldItalic" w:hAnsi="FormataCond-BoldItalic" w:cs="FormataCond-BoldItalic"/>
          <w:b/>
          <w:bCs/>
          <w:i/>
          <w:iCs/>
          <w:color w:val="2A2829"/>
          <w:sz w:val="20"/>
          <w:szCs w:val="20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NB :</w:t>
      </w:r>
      <w:r w:rsidRPr="00312412">
        <w:rPr>
          <w:rFonts w:ascii="FormataCond-BoldItalic" w:hAnsi="FormataCond-BoldItalic" w:cs="FormataCond-BoldItalic"/>
          <w:b/>
          <w:bCs/>
          <w:i/>
          <w:iCs/>
          <w:color w:val="2A2829"/>
          <w:sz w:val="20"/>
          <w:szCs w:val="20"/>
        </w:rPr>
        <w:t xml:space="preserve"> </w:t>
      </w:r>
      <w:r>
        <w:rPr>
          <w:rFonts w:ascii="FormataCond-BoldItalic" w:hAnsi="FormataCond-BoldItalic" w:cs="FormataCond-BoldItalic"/>
          <w:b/>
          <w:bCs/>
          <w:i/>
          <w:iCs/>
          <w:color w:val="2A2829"/>
          <w:sz w:val="20"/>
          <w:szCs w:val="20"/>
        </w:rPr>
        <w:t>Score Grace</w:t>
      </w:r>
    </w:p>
    <w:p w:rsid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  <w:r>
        <w:rPr>
          <w:rFonts w:ascii="Formata" w:hAnsi="Formata" w:cs="Formata"/>
          <w:color w:val="2A2829"/>
          <w:sz w:val="17"/>
          <w:szCs w:val="17"/>
        </w:rPr>
        <w:t>Il attribue à chacune des données retenues (âge, fréquence cardiaque, pression artérielle systolique,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Formata" w:hAnsi="Formata" w:cs="Formata"/>
          <w:color w:val="2A2829"/>
          <w:sz w:val="17"/>
          <w:szCs w:val="17"/>
        </w:rPr>
      </w:pPr>
      <w:proofErr w:type="spellStart"/>
      <w:proofErr w:type="gramStart"/>
      <w:r>
        <w:rPr>
          <w:rFonts w:ascii="Formata" w:hAnsi="Formata" w:cs="Formata"/>
          <w:color w:val="2A2829"/>
          <w:sz w:val="17"/>
          <w:szCs w:val="17"/>
        </w:rPr>
        <w:t>créatininémie</w:t>
      </w:r>
      <w:proofErr w:type="spellEnd"/>
      <w:proofErr w:type="gramEnd"/>
      <w:r>
        <w:rPr>
          <w:rFonts w:ascii="Formata" w:hAnsi="Formata" w:cs="Formata"/>
          <w:color w:val="2A2829"/>
          <w:sz w:val="17"/>
          <w:szCs w:val="17"/>
        </w:rPr>
        <w:t xml:space="preserve">, stade </w:t>
      </w:r>
      <w:proofErr w:type="spellStart"/>
      <w:r>
        <w:rPr>
          <w:rFonts w:ascii="Formata" w:hAnsi="Formata" w:cs="Formata"/>
          <w:color w:val="2A2829"/>
          <w:sz w:val="17"/>
          <w:szCs w:val="17"/>
        </w:rPr>
        <w:t>Killip</w:t>
      </w:r>
      <w:proofErr w:type="spellEnd"/>
      <w:r>
        <w:rPr>
          <w:rFonts w:ascii="Formata" w:hAnsi="Formata" w:cs="Formata"/>
          <w:color w:val="2A2829"/>
          <w:sz w:val="17"/>
          <w:szCs w:val="17"/>
        </w:rPr>
        <w:t xml:space="preserve">, présence d’un sous-décalage de ST, </w:t>
      </w:r>
      <w:proofErr w:type="spellStart"/>
      <w:r>
        <w:rPr>
          <w:rFonts w:ascii="Formata" w:hAnsi="Formata" w:cs="Formata"/>
          <w:color w:val="2A2829"/>
          <w:sz w:val="17"/>
          <w:szCs w:val="17"/>
        </w:rPr>
        <w:t>troponinémie</w:t>
      </w:r>
      <w:proofErr w:type="spellEnd"/>
      <w:r>
        <w:rPr>
          <w:rFonts w:ascii="Formata" w:hAnsi="Formata" w:cs="Formata"/>
          <w:color w:val="2A2829"/>
          <w:sz w:val="17"/>
          <w:szCs w:val="17"/>
        </w:rPr>
        <w:t xml:space="preserve"> </w:t>
      </w:r>
      <w:r>
        <w:rPr>
          <w:rFonts w:ascii="TT4128o00" w:hAnsi="TT4128o00" w:cs="TT4128o00"/>
          <w:color w:val="2A2829"/>
          <w:sz w:val="17"/>
          <w:szCs w:val="17"/>
        </w:rPr>
        <w:t>&gt;</w:t>
      </w:r>
      <w:r>
        <w:rPr>
          <w:rFonts w:ascii="Formata" w:hAnsi="Formata" w:cs="Formata"/>
          <w:color w:val="2A2829"/>
          <w:sz w:val="17"/>
          <w:szCs w:val="17"/>
        </w:rPr>
        <w:t>0, arrêt cardiaque) une valeur et définit trois niveaux de risque.</w:t>
      </w:r>
    </w:p>
    <w:p w:rsidR="00312412" w:rsidRDefault="00312412" w:rsidP="0009224C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312412" w:rsidRPr="00312412" w:rsidRDefault="00312412" w:rsidP="003124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/>
          <w:b/>
          <w:color w:val="2A2829"/>
          <w:sz w:val="24"/>
          <w:szCs w:val="19"/>
        </w:rPr>
        <w:t>Bas risque (pas d’indication de coronarographie précoce):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Pas de récidive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douloureuse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Pas de manifestations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insuffisance cardiaqu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 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Pas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anomalie du premier ou du second ECG (6</w:t>
      </w: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12theures</w:t>
      </w:r>
      <w:proofErr w:type="gramStart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)t</w:t>
      </w:r>
      <w:proofErr w:type="gramEnd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;</w:t>
      </w:r>
    </w:p>
    <w:p w:rsid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FormataLight-Light" w:eastAsia="FormataLight-Light" w:cs="FormataLight-Light"/>
          <w:color w:val="2A2829"/>
          <w:sz w:val="19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•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T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roponinemie</w:t>
      </w:r>
      <w:proofErr w:type="spellEnd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nulle (admission </w:t>
      </w:r>
      <w:proofErr w:type="gramStart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et</w:t>
      </w:r>
      <w:proofErr w:type="gramEnd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6</w:t>
      </w: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12theures</w:t>
      </w:r>
      <w:r w:rsidRPr="00312412">
        <w:rPr>
          <w:rFonts w:ascii="FormataLight-Light" w:eastAsia="FormataLight-Light" w:cs="FormataLight-Light"/>
          <w:color w:val="2A2829"/>
          <w:sz w:val="19"/>
          <w:szCs w:val="19"/>
        </w:rPr>
        <w:t>).</w:t>
      </w:r>
    </w:p>
    <w:p w:rsid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FormataLight-Light" w:eastAsia="FormataLight-Light" w:cs="FormataLight-Light"/>
          <w:color w:val="2A2829"/>
          <w:sz w:val="19"/>
          <w:szCs w:val="19"/>
        </w:rPr>
      </w:pPr>
    </w:p>
    <w:p w:rsidR="00312412" w:rsidRPr="00312412" w:rsidRDefault="00312412" w:rsidP="0031241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"/>
          <w:color w:val="2A2829"/>
          <w:sz w:val="24"/>
          <w:szCs w:val="32"/>
        </w:rPr>
      </w:pPr>
      <w:r w:rsidRPr="00312412">
        <w:rPr>
          <w:rFonts w:ascii="Times New Roman" w:hAnsi="Times New Roman" w:cs="FormataMed-Medium"/>
          <w:b/>
          <w:color w:val="2A2829"/>
          <w:sz w:val="28"/>
          <w:szCs w:val="28"/>
        </w:rPr>
        <w:t>Traitement</w:t>
      </w:r>
    </w:p>
    <w:p w:rsidR="00312412" w:rsidRDefault="00DE49BB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Dé</w:t>
      </w:r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s qu</w:t>
      </w:r>
      <w:r w:rsid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e le diagnostic est posé</w:t>
      </w:r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(ou fortement suspecte), le patient doit être</w:t>
      </w:r>
      <w:r w:rsid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hospitalisé</w:t>
      </w:r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en USIC et bénéficier d</w:t>
      </w:r>
      <w:r w:rsid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un monitorage de l</w:t>
      </w:r>
      <w:r w:rsid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ECG (+++).</w:t>
      </w:r>
    </w:p>
    <w:p w:rsidR="00312412" w:rsidRPr="00DE49BB" w:rsidRDefault="00DE49BB" w:rsidP="00DE49B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DE49BB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Antiagrégants</w:t>
      </w:r>
      <w:r w:rsidR="00312412" w:rsidRPr="00DE49BB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 xml:space="preserve"> plaquettaires</w:t>
      </w:r>
      <w:r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 :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Ils</w:t>
      </w:r>
      <w:proofErr w:type="gramEnd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sont prescrits </w:t>
      </w:r>
      <w:r w:rsidR="00DE49BB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après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avoir </w:t>
      </w:r>
      <w:r w:rsidR="00DE49BB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évalué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 risque de survenue d</w:t>
      </w:r>
      <w:r w:rsidR="00DE49BB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un accident</w:t>
      </w:r>
    </w:p>
    <w:p w:rsidR="00312412" w:rsidRPr="00312412" w:rsidRDefault="00DE49BB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proofErr w:type="gramStart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hémorragique</w:t>
      </w:r>
      <w:proofErr w:type="gramEnd"/>
      <w:r w:rsidR="00312412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312412" w:rsidRP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="00DE49B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Aspirine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: 250 a 500tmg IVD puis 75tmg/j au long cours.</w:t>
      </w:r>
    </w:p>
    <w:p w:rsidR="00312412" w:rsidRDefault="00312412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="00DE49B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="00DE49BB">
        <w:rPr>
          <w:rFonts w:ascii="Times New Roman" w:eastAsia="FormataLight-Light" w:hAnsi="Times New Roman" w:cs="FormataLight-Light"/>
          <w:color w:val="2A2829"/>
          <w:sz w:val="24"/>
          <w:szCs w:val="19"/>
        </w:rPr>
        <w:t>Clopidogrel</w:t>
      </w:r>
      <w:proofErr w:type="spellEnd"/>
      <w:r w:rsidR="00DE49BB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300 à 600 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mg </w:t>
      </w:r>
      <w:r w:rsidRPr="00312412">
        <w:rPr>
          <w:rFonts w:ascii="Times New Roman" w:hAnsi="Times New Roman" w:cs="FormataLight-LightItalic"/>
          <w:i/>
          <w:iCs/>
          <w:color w:val="2A2829"/>
          <w:sz w:val="24"/>
          <w:szCs w:val="19"/>
        </w:rPr>
        <w:t xml:space="preserve">per os 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puis 75tmg/j </w:t>
      </w:r>
      <w:proofErr w:type="gramStart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durant</w:t>
      </w:r>
      <w:proofErr w:type="gramEnd"/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12 mois.</w:t>
      </w:r>
    </w:p>
    <w:p w:rsidR="00DE49BB" w:rsidRPr="00312412" w:rsidRDefault="00DE49BB" w:rsidP="00312412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Ticagleor</w:t>
      </w:r>
      <w:proofErr w:type="spell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si risque </w:t>
      </w:r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intermédiaire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 </w:t>
      </w:r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élevé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et </w:t>
      </w:r>
      <w:proofErr w:type="spellStart"/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Prasugrel</w:t>
      </w:r>
      <w:proofErr w:type="spellEnd"/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si angioplastie prévue et en l’absence 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de contre </w:t>
      </w:r>
      <w:proofErr w:type="gram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indications .</w:t>
      </w:r>
      <w:proofErr w:type="gramEnd"/>
    </w:p>
    <w:p w:rsidR="00312412" w:rsidRPr="00312412" w:rsidRDefault="00312412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312412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Inhibiteurs des </w:t>
      </w:r>
      <w:r w:rsidR="00C60CFA"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>glycoprotéines</w:t>
      </w:r>
      <w:r w:rsidRPr="00312412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2B/3A: </w:t>
      </w:r>
      <w:r w:rsid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en salle de cathétérisme si thrombus important ou complication thrombotique.</w:t>
      </w:r>
    </w:p>
    <w:p w:rsidR="00C60CFA" w:rsidRPr="00C60CFA" w:rsidRDefault="00C60CFA" w:rsidP="00C60CF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C60CFA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Anticoagulants</w:t>
      </w:r>
      <w:r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 :</w:t>
      </w:r>
    </w:p>
    <w:p w:rsidR="00C60CFA" w:rsidRPr="00C60CFA" w:rsidRDefault="00C60CFA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Mis a part la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bivalirudine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, le traitement </w:t>
      </w:r>
      <w:proofErr w:type="gram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est</w:t>
      </w:r>
      <w:proofErr w:type="gram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prescrit (sauf cas particulier)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des le diagnostic pose et jusqu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 réalisation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coronarographie ou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sortie du patient de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hopital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C60CFA" w:rsidRPr="00C60CFA" w:rsidRDefault="00C60CFA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Heparine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non fractionnée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(HNF)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bolus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60 UI/kg IVD (</w:t>
      </w:r>
      <w:r w:rsidRPr="00C60CFA">
        <w:rPr>
          <w:rFonts w:ascii="Times New Roman" w:eastAsia="TT40F1o00" w:hAnsi="Times New Roman" w:cs="TT40F1o00" w:hint="eastAsia"/>
          <w:color w:val="2A2829"/>
          <w:sz w:val="24"/>
          <w:szCs w:val="19"/>
        </w:rPr>
        <w:t>≤</w:t>
      </w:r>
      <w:r w:rsidRPr="00C60CFA">
        <w:rPr>
          <w:rFonts w:ascii="Times New Roman" w:eastAsia="TT40F1o00" w:hAnsi="Times New Roman" w:cs="TT40F1o00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5000 UI), puis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perfusion 12</w:t>
      </w: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15 UI/kg/h (</w:t>
      </w:r>
      <w:r w:rsidRPr="00C60CFA">
        <w:rPr>
          <w:rFonts w:ascii="Times New Roman" w:eastAsia="TT40F1o00" w:hAnsi="Times New Roman" w:cs="TT40F1o00" w:hint="eastAsia"/>
          <w:color w:val="2A2829"/>
          <w:sz w:val="24"/>
          <w:szCs w:val="19"/>
        </w:rPr>
        <w:t>≤</w:t>
      </w:r>
      <w:r w:rsidRPr="00C60CFA">
        <w:rPr>
          <w:rFonts w:ascii="Times New Roman" w:eastAsia="TT40F1o00" w:hAnsi="Times New Roman" w:cs="TT40F1o00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1000 UI/h) IV. Objectif de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TCAt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: 1,5 a 2,5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fois la normale, surveillance plaquettaire si prescription </w:t>
      </w:r>
      <w:r w:rsidRPr="00C60CFA">
        <w:rPr>
          <w:rFonts w:ascii="Times New Roman" w:eastAsia="TT40F1o00" w:hAnsi="Times New Roman" w:cs="TT40F1o00" w:hint="eastAsia"/>
          <w:color w:val="2A2829"/>
          <w:sz w:val="24"/>
          <w:szCs w:val="19"/>
        </w:rPr>
        <w:t>≥</w:t>
      </w:r>
      <w:r w:rsidRPr="00C60CFA">
        <w:rPr>
          <w:rFonts w:ascii="Times New Roman" w:eastAsia="TT40F1o00" w:hAnsi="Times New Roman" w:cs="TT40F1o00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7tj.</w:t>
      </w:r>
    </w:p>
    <w:p w:rsidR="00C60CFA" w:rsidRPr="00C60CFA" w:rsidRDefault="00C60CFA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Heparine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de bas poids 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moleculaire</w:t>
      </w:r>
      <w:proofErr w:type="spell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(HBPM</w:t>
      </w:r>
      <w:proofErr w:type="gram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)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:</w:t>
      </w:r>
      <w:proofErr w:type="gram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enoxaparine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Lovenox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1"/>
        </w:rPr>
        <w:t>R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)</w:t>
      </w:r>
    </w:p>
    <w:p w:rsidR="00C60CFA" w:rsidRPr="00C60CFA" w:rsidRDefault="00C60CFA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100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UI/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kg SC 2 fois/</w:t>
      </w:r>
      <w:proofErr w:type="spellStart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jt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C60CFA" w:rsidRPr="00C60CFA" w:rsidRDefault="00C60CFA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Antifacteur</w:t>
      </w:r>
      <w:proofErr w:type="spellEnd"/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Xa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fondaparinux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Arixtra</w:t>
      </w:r>
      <w:proofErr w:type="spellEnd"/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) 2,5tmg/j SCt.</w:t>
      </w:r>
    </w:p>
    <w:p w:rsidR="00C60CFA" w:rsidRPr="00C60CFA" w:rsidRDefault="00C60CFA" w:rsidP="00C60CFA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Antithrombine directe (pour informati</w:t>
      </w:r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on)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bivalirudine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(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Angiox</w:t>
      </w:r>
      <w:proofErr w:type="spellEnd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)</w:t>
      </w:r>
    </w:p>
    <w:p w:rsidR="00A94AAB" w:rsidRDefault="00C60CFA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0,1tmg/kg </w:t>
      </w:r>
      <w:proofErr w:type="spellStart"/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bolus</w:t>
      </w:r>
      <w:proofErr w:type="spellEnd"/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IVD puis 0,25tmg/kg/h IV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, prescription</w:t>
      </w:r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uniquement durant l</w:t>
      </w:r>
      <w:r w:rsid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C60CFA">
        <w:rPr>
          <w:rFonts w:ascii="Times New Roman" w:eastAsia="FormataLight-Light" w:hAnsi="Times New Roman" w:cs="FormataLight-Light"/>
          <w:color w:val="2A2829"/>
          <w:sz w:val="24"/>
          <w:szCs w:val="19"/>
        </w:rPr>
        <w:t>angioplastie.</w:t>
      </w:r>
    </w:p>
    <w:p w:rsidR="00D70020" w:rsidRPr="00D70020" w:rsidRDefault="00D70020" w:rsidP="00D7002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</w:pPr>
      <w:r w:rsidRPr="00D70020"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Anti-ischémiques</w:t>
      </w:r>
      <w:r>
        <w:rPr>
          <w:rFonts w:ascii="Times New Roman" w:hAnsi="Times New Roman" w:cs="FormataMed-MediumItalic"/>
          <w:b/>
          <w:i/>
          <w:iCs/>
          <w:color w:val="2A2829"/>
          <w:sz w:val="24"/>
          <w:szCs w:val="26"/>
        </w:rPr>
        <w:t> :</w:t>
      </w:r>
    </w:p>
    <w:p w:rsidR="00D70020" w:rsidRP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Dérivés nitrés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: par voie sublinguale comme traitement de la crise angineuse.</w:t>
      </w:r>
    </w:p>
    <w:p w:rsid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gramStart"/>
      <w:r w:rsidRPr="00D70020">
        <w:rPr>
          <w:rFonts w:ascii="Times New Roman" w:eastAsia="TT40F1o00" w:hAnsi="Times New Roman" w:cs="TT40F1o00" w:hint="eastAsia"/>
          <w:color w:val="2A2829"/>
          <w:sz w:val="24"/>
          <w:szCs w:val="19"/>
        </w:rPr>
        <w:t>β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-bloqueurs</w:t>
      </w:r>
      <w:proofErr w:type="gramEnd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: en première intention sauf contre-indication en particulier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en présence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tachycardie ou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une hypertension 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Anticalciques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lorsque les </w:t>
      </w:r>
      <w:r w:rsidRPr="00D70020">
        <w:rPr>
          <w:rFonts w:ascii="Times New Roman" w:eastAsia="TT40F1o00" w:hAnsi="Times New Roman" w:cs="TT40F1o00" w:hint="eastAsia"/>
          <w:color w:val="2A2829"/>
          <w:sz w:val="24"/>
          <w:szCs w:val="19"/>
        </w:rPr>
        <w:t>β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-bloqueurs sont contre-indiques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.</w:t>
      </w:r>
    </w:p>
    <w:p w:rsid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</w:p>
    <w:p w:rsidR="00D70020" w:rsidRPr="00D70020" w:rsidRDefault="00D70020" w:rsidP="00D7002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i/>
          <w:iCs/>
          <w:color w:val="2A2829"/>
          <w:sz w:val="24"/>
          <w:szCs w:val="26"/>
        </w:rPr>
      </w:pPr>
      <w:r w:rsidRPr="00D70020">
        <w:rPr>
          <w:rFonts w:ascii="Times New Roman" w:hAnsi="Times New Roman" w:cs="FormataMed-MediumItalic"/>
          <w:b/>
          <w:i/>
          <w:iCs/>
          <w:color w:val="2A2829"/>
          <w:sz w:val="28"/>
          <w:szCs w:val="28"/>
        </w:rPr>
        <w:t>Intervention coronaire percutanée (ICP)</w:t>
      </w:r>
    </w:p>
    <w:p w:rsidR="00D70020" w:rsidRP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La coronarographie permet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identifier la lésion coupable du SCA </w:t>
      </w:r>
      <w:proofErr w:type="gramStart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et</w:t>
      </w:r>
      <w:proofErr w:type="gramEnd"/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évaluer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les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possibilités techniques de son traitement qui consiste en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implantation d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une prothèse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proofErr w:type="spellStart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lastRenderedPageBreak/>
        <w:t>endocoronaire</w:t>
      </w:r>
      <w:proofErr w:type="spellEnd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permettant de stabiliser la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plaque rompue et surtout de supprimer l</w:t>
      </w: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obstacle au flux sanguin. </w:t>
      </w:r>
    </w:p>
    <w:p w:rsidR="00D70020" w:rsidRPr="00D70020" w:rsidRDefault="00D70020" w:rsidP="00D7002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FormataMed-MediumItalic"/>
          <w:b/>
          <w:iCs/>
          <w:color w:val="2A2829"/>
          <w:sz w:val="28"/>
          <w:szCs w:val="28"/>
        </w:rPr>
      </w:pPr>
      <w:r w:rsidRPr="00D70020">
        <w:rPr>
          <w:rFonts w:ascii="Times New Roman" w:hAnsi="Times New Roman" w:cs="FormataMed-MediumItalic"/>
          <w:b/>
          <w:iCs/>
          <w:color w:val="2A2829"/>
          <w:sz w:val="28"/>
          <w:szCs w:val="28"/>
        </w:rPr>
        <w:t>Stratégie thérapeutique</w:t>
      </w:r>
    </w:p>
    <w:p w:rsidR="00D70020" w:rsidRP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L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’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environnement pharmacologique </w:t>
      </w:r>
      <w:proofErr w:type="gramStart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est</w:t>
      </w:r>
      <w:proofErr w:type="gramEnd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adapte en fonction du risque qui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conditionne le délai de réalisation de la coronarographie.</w:t>
      </w:r>
    </w:p>
    <w:p w:rsidR="00D70020" w:rsidRPr="00D70020" w:rsidRDefault="00D70020" w:rsidP="00D70020">
      <w:pPr>
        <w:autoSpaceDE w:val="0"/>
        <w:autoSpaceDN w:val="0"/>
        <w:adjustRightInd w:val="0"/>
        <w:spacing w:after="0" w:line="240" w:lineRule="auto"/>
        <w:rPr>
          <w:rFonts w:ascii="Times New Roman" w:eastAsia="FormataLight-Light" w:hAnsi="Times New Roman" w:cs="FormataLight-Light"/>
          <w:color w:val="2A2829"/>
          <w:sz w:val="24"/>
          <w:szCs w:val="19"/>
        </w:rPr>
      </w:pPr>
      <w:r w:rsidRPr="00D70020">
        <w:rPr>
          <w:rFonts w:ascii="Times New Roman" w:eastAsia="FormataLight-Light" w:hAnsi="Times New Roman" w:cs="FormataLight-Light" w:hint="eastAsia"/>
          <w:color w:val="2A2829"/>
          <w:sz w:val="24"/>
          <w:szCs w:val="19"/>
        </w:rPr>
        <w:t>–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Traite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>ment commun a tous les patients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: aspirine, </w:t>
      </w:r>
      <w:proofErr w:type="spellStart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clopidogrel</w:t>
      </w:r>
      <w:proofErr w:type="spellEnd"/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, anticoagulant,</w:t>
      </w:r>
      <w:r>
        <w:rPr>
          <w:rFonts w:ascii="Times New Roman" w:eastAsia="FormataLight-Light" w:hAnsi="Times New Roman" w:cs="FormataLight-Light"/>
          <w:color w:val="2A2829"/>
          <w:sz w:val="24"/>
          <w:szCs w:val="19"/>
        </w:rPr>
        <w:t xml:space="preserve"> </w:t>
      </w:r>
      <w:r w:rsidRPr="00D70020">
        <w:rPr>
          <w:rFonts w:ascii="Times New Roman" w:eastAsia="FormataLight-Light" w:hAnsi="Times New Roman" w:cs="FormataLight-Light"/>
          <w:color w:val="2A2829"/>
          <w:sz w:val="24"/>
          <w:szCs w:val="19"/>
        </w:rPr>
        <w:t>anti-ischémique.</w:t>
      </w:r>
    </w:p>
    <w:sectPr w:rsidR="00D70020" w:rsidRPr="00D70020" w:rsidSect="00D8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M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Light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rmataMed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0F1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rmataLight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C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12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BCB"/>
    <w:multiLevelType w:val="hybridMultilevel"/>
    <w:tmpl w:val="00CE26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0D5D8F"/>
    <w:multiLevelType w:val="hybridMultilevel"/>
    <w:tmpl w:val="0F50DEDC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C81DC0"/>
    <w:multiLevelType w:val="hybridMultilevel"/>
    <w:tmpl w:val="81726336"/>
    <w:lvl w:ilvl="0" w:tplc="F446C2EC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20B08"/>
    <w:multiLevelType w:val="hybridMultilevel"/>
    <w:tmpl w:val="991AF156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D7C446B"/>
    <w:multiLevelType w:val="hybridMultilevel"/>
    <w:tmpl w:val="654CB538"/>
    <w:lvl w:ilvl="0" w:tplc="BB322148">
      <w:start w:val="1"/>
      <w:numFmt w:val="upperLetter"/>
      <w:lvlText w:val="%1."/>
      <w:lvlJc w:val="right"/>
      <w:pPr>
        <w:ind w:left="144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603D"/>
    <w:multiLevelType w:val="hybridMultilevel"/>
    <w:tmpl w:val="799E0A94"/>
    <w:lvl w:ilvl="0" w:tplc="040C0017">
      <w:start w:val="1"/>
      <w:numFmt w:val="lowerLetter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0C11C69"/>
    <w:multiLevelType w:val="hybridMultilevel"/>
    <w:tmpl w:val="557619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435F"/>
    <w:multiLevelType w:val="hybridMultilevel"/>
    <w:tmpl w:val="A212117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E2ADF"/>
    <w:multiLevelType w:val="hybridMultilevel"/>
    <w:tmpl w:val="C4324532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EC314D"/>
    <w:multiLevelType w:val="hybridMultilevel"/>
    <w:tmpl w:val="9B0A69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90E88"/>
    <w:multiLevelType w:val="hybridMultilevel"/>
    <w:tmpl w:val="B120BF0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77B208C"/>
    <w:multiLevelType w:val="hybridMultilevel"/>
    <w:tmpl w:val="705853FA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8DD3361"/>
    <w:multiLevelType w:val="hybridMultilevel"/>
    <w:tmpl w:val="7EA4D7B8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1593AF2"/>
    <w:multiLevelType w:val="hybridMultilevel"/>
    <w:tmpl w:val="78AA9DFC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B1F343B"/>
    <w:multiLevelType w:val="hybridMultilevel"/>
    <w:tmpl w:val="EFE6D6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05472"/>
    <w:multiLevelType w:val="hybridMultilevel"/>
    <w:tmpl w:val="C7A230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DD0"/>
    <w:rsid w:val="0009224C"/>
    <w:rsid w:val="00312412"/>
    <w:rsid w:val="00414E26"/>
    <w:rsid w:val="00446A8D"/>
    <w:rsid w:val="004662E9"/>
    <w:rsid w:val="0073798E"/>
    <w:rsid w:val="00A164FA"/>
    <w:rsid w:val="00A47DD0"/>
    <w:rsid w:val="00A63274"/>
    <w:rsid w:val="00A94AAB"/>
    <w:rsid w:val="00C60CFA"/>
    <w:rsid w:val="00CA2772"/>
    <w:rsid w:val="00CE3851"/>
    <w:rsid w:val="00D70020"/>
    <w:rsid w:val="00D871A3"/>
    <w:rsid w:val="00DB3A83"/>
    <w:rsid w:val="00DE49BB"/>
    <w:rsid w:val="00ED4286"/>
    <w:rsid w:val="00F6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4</cp:revision>
  <dcterms:created xsi:type="dcterms:W3CDTF">2015-11-25T09:48:00Z</dcterms:created>
  <dcterms:modified xsi:type="dcterms:W3CDTF">2015-11-25T12:31:00Z</dcterms:modified>
</cp:coreProperties>
</file>