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1.2.2 Contraintes réglementaires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Durant la décennie 1990, la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Commission de Bruxelles </w:t>
      </w:r>
      <w:r w:rsidRPr="00A41055">
        <w:rPr>
          <w:rFonts w:asciiTheme="majorBidi" w:hAnsiTheme="majorBidi" w:cstheme="majorBidi"/>
          <w:sz w:val="24"/>
          <w:szCs w:val="24"/>
        </w:rPr>
        <w:t>a joué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rôle moteur en matière de réglementation et d’incitation à la valorisation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des déchets en Europe communautaire. Ceci s’est matérialisé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sous forme de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directives</w:t>
      </w:r>
      <w:r w:rsidRPr="00A41055">
        <w:rPr>
          <w:rFonts w:asciiTheme="majorBidi" w:hAnsiTheme="majorBidi" w:cstheme="majorBidi"/>
          <w:sz w:val="24"/>
          <w:szCs w:val="24"/>
        </w:rPr>
        <w:t>, progressivement transcrites en droit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national par les États membres.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Il nous paraît utile d’en rappeler ici les objets, pour celles 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touchent à notre sujet.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Directives relatives aux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déchets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Directive cadre, 75/442/CEE du Conseil du 15 juillet 1975, relative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aux déchets.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« ... Ces mesures s’appliquent à toute substance ou tout objet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dont le détenteur se défait, ou a l’obligation de se défaire, en vertu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des dispositions nationales des États membres... ».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Règlement (CEE) no 259/93 du Conseil, du 1er février 1993,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concernant la surveillance et le contrôle des transferts de déchets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l’intérieur, à l’entrée et à la sortie de la Communauté.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Directive 1999/31/CE du Conseil du 26 avril 1999, concernant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mise en décharge des déchets. La directive vise à :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« … prévenir ou à réduire les atteintes portées à l’environnement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la mise en décharge des déchets, et plus particulièrement sur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eaux de surface, les eaux souterraines, le sol, l’air et la santé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humaine… ».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Directives relatives aux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produits en fin de vie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Directive 94/62/CE du 20 décembre 1994 du Parlement européen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et du Conseil relative aux emballages et aux déchets d’emballages.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La directive 2004/12/CE (qui modifie la directive 94/62/CE) établit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critères pour clarifier la définition du terme « emballages ».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Directive 2000/53/CE du Parlement européen et du Conseil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18 septembre 2000 relative aux véhicules hors d’usage.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A41055">
        <w:rPr>
          <w:rFonts w:asciiTheme="majorBidi" w:hAnsiTheme="majorBidi" w:cstheme="majorBidi"/>
          <w:sz w:val="24"/>
          <w:szCs w:val="24"/>
        </w:rPr>
        <w:t>Directive 2002/96/CE du Parlement européen et du Conseil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27 janvier 2003 relative aux déchets d’équipements électriques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électroniques.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1.2.3 Certification environnementale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Elle répond à un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besoin d’image </w:t>
      </w:r>
      <w:r w:rsidRPr="00A41055">
        <w:rPr>
          <w:rFonts w:asciiTheme="majorBidi" w:hAnsiTheme="majorBidi" w:cstheme="majorBidi"/>
          <w:sz w:val="24"/>
          <w:szCs w:val="24"/>
        </w:rPr>
        <w:t>et de considération.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C’est un phénomène nouveau de la part des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producteurs </w:t>
      </w:r>
      <w:r w:rsidRPr="00A41055">
        <w:rPr>
          <w:rFonts w:asciiTheme="majorBidi" w:hAnsiTheme="majorBidi" w:cstheme="majorBidi"/>
          <w:sz w:val="24"/>
          <w:szCs w:val="24"/>
        </w:rPr>
        <w:t>de matériaux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et des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fabricants </w:t>
      </w:r>
      <w:r w:rsidRPr="00A41055">
        <w:rPr>
          <w:rFonts w:asciiTheme="majorBidi" w:hAnsiTheme="majorBidi" w:cstheme="majorBidi"/>
          <w:sz w:val="24"/>
          <w:szCs w:val="24"/>
        </w:rPr>
        <w:t>de biens d’équipement, lesquels intègrent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désormais la notion de recyclabilité des produits dans leurs stratégies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communications auprès des consommateurs. Ainsi peut-on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justifier les mérites d’une société qui consomme, mais de façon responsable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et citoyenne, dans le respect de l’environnement.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lastRenderedPageBreak/>
        <w:t xml:space="preserve">De leur côté, 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récupérateurs </w:t>
      </w:r>
      <w:r w:rsidRPr="00A41055">
        <w:rPr>
          <w:rFonts w:asciiTheme="majorBidi" w:hAnsiTheme="majorBidi" w:cstheme="majorBidi"/>
          <w:sz w:val="24"/>
          <w:szCs w:val="24"/>
        </w:rPr>
        <w:t>de ferrailles et métaux, dans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passé dénommés, péjorativement selon eux, les ferrailleurs, ont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souci d’effacer une image plutôt négative longtemps attachée à leur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activité, en introduisant de la transparence, plus de professionnalisme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et en proclamant des intentions.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C’est un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acte volontaire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La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certification </w:t>
      </w:r>
      <w:r w:rsidRPr="00A41055">
        <w:rPr>
          <w:rFonts w:asciiTheme="majorBidi" w:hAnsiTheme="majorBidi" w:cstheme="majorBidi"/>
          <w:sz w:val="24"/>
          <w:szCs w:val="24"/>
        </w:rPr>
        <w:t>concrétise et consacre une nouvelle attitude.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La norme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ISO 9000 </w:t>
      </w:r>
      <w:r w:rsidRPr="00A41055">
        <w:rPr>
          <w:rFonts w:asciiTheme="majorBidi" w:hAnsiTheme="majorBidi" w:cstheme="majorBidi"/>
          <w:sz w:val="24"/>
          <w:szCs w:val="24"/>
        </w:rPr>
        <w:t>traite principalement du « management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qualité </w:t>
      </w:r>
      <w:r w:rsidRPr="00A41055">
        <w:rPr>
          <w:rFonts w:asciiTheme="majorBidi" w:hAnsiTheme="majorBidi" w:cstheme="majorBidi"/>
          <w:sz w:val="24"/>
          <w:szCs w:val="24"/>
        </w:rPr>
        <w:t>». Elle a un effet moteur pour la conception de biens 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facilement recyclables et, par voie de conséquence, sur la qualité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des ferrailles, dans la mesure où un nombre croissant d’entreprises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collecte et de récupération s’y plient.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La norme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ISO 14000 </w:t>
      </w:r>
      <w:r w:rsidRPr="00A41055">
        <w:rPr>
          <w:rFonts w:asciiTheme="majorBidi" w:hAnsiTheme="majorBidi" w:cstheme="majorBidi"/>
          <w:sz w:val="24"/>
          <w:szCs w:val="24"/>
        </w:rPr>
        <w:t>traite principalement du « management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environnemental </w:t>
      </w:r>
      <w:r w:rsidRPr="00A41055">
        <w:rPr>
          <w:rFonts w:asciiTheme="majorBidi" w:hAnsiTheme="majorBidi" w:cstheme="majorBidi"/>
          <w:sz w:val="24"/>
          <w:szCs w:val="24"/>
        </w:rPr>
        <w:t>». Le fait de s’y soumettre peut avoir une influence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sur les quantités de matériaux recyclés en vue de préserver les ressources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la planète et sur leur qualité, dans la mesure où tant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récupérateurs que les aciéristes et les fondeurs s’y fixent pour objectif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limiter les effets des rejets sur l’environnement.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1.2.4 Développement durable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Le développement durable est devenu une des priorités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grands groupes sidérurgiques et de leurs clients majeurs.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Il associe des préoccupations économiques environnementales,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sociales et sociétales. Sa mise en oeuvre, dans les entreprises,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pilotée par les directions de l’Environnement, de la Communication,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la Santé et Sécurité et des Ressources humaines.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recyclage </w:t>
      </w:r>
      <w:r w:rsidRPr="00A41055">
        <w:rPr>
          <w:rFonts w:asciiTheme="majorBidi" w:hAnsiTheme="majorBidi" w:cstheme="majorBidi"/>
          <w:sz w:val="24"/>
          <w:szCs w:val="24"/>
        </w:rPr>
        <w:t xml:space="preserve">constitue un des principaux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leviers d’action </w:t>
      </w:r>
      <w:r w:rsidRPr="00A41055">
        <w:rPr>
          <w:rFonts w:asciiTheme="majorBidi" w:hAnsiTheme="majorBidi" w:cstheme="majorBidi"/>
          <w:sz w:val="24"/>
          <w:szCs w:val="24"/>
        </w:rPr>
        <w:t>et sert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souvent de fil conducteur à l’élaboration de cette nouvelle stratégie.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Nous illustrerons cette affirmation en analysant deux des objectifs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essentiels du développement durable.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Limitation des rejets </w:t>
      </w:r>
      <w:r w:rsidRPr="00A41055">
        <w:rPr>
          <w:rFonts w:asciiTheme="majorBidi" w:hAnsiTheme="majorBidi" w:cstheme="majorBidi"/>
          <w:sz w:val="24"/>
          <w:szCs w:val="24"/>
        </w:rPr>
        <w:t>dans l’air, l’eau et le sol.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Le recyclage des produits ferreux y contribue largement, en raccourcissant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notablement la filière d’élaboration de l’acier (figure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41055">
        <w:rPr>
          <w:rFonts w:asciiTheme="majorBidi" w:hAnsiTheme="majorBidi" w:cstheme="majorBidi"/>
          <w:sz w:val="24"/>
          <w:szCs w:val="24"/>
        </w:rPr>
        <w:t>).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Ainsi peut-on retenir, en comparaison brute et dans les conditions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production de l’électricité en France (à 80 % par la filière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nucléaire) que la filière électrique génère, en gros,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dix fois moins 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CO2</w:t>
      </w:r>
      <w:r w:rsidRPr="00A41055">
        <w:rPr>
          <w:rFonts w:asciiTheme="majorBidi" w:hAnsiTheme="majorBidi" w:cstheme="majorBidi"/>
          <w:sz w:val="24"/>
          <w:szCs w:val="24"/>
        </w:rPr>
        <w:t>, à la tonne d’acier liquide, que la filière fonte, soit 200 kg au lieu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2 000 kg (source ARCELOR research et CRM Liège).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lastRenderedPageBreak/>
        <w:t xml:space="preserve">De même, la filière électrique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divise au moins par deux l’énergie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nécessaire à l’élaboration d’une tonne d’acier coulé (brames, billettes),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en comparaison de la filière fonte, soit 8 à 10 MJ contre 22 MJ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(selon l’IISI).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Économie des ressources </w:t>
      </w:r>
      <w:r w:rsidRPr="00A41055">
        <w:rPr>
          <w:rFonts w:asciiTheme="majorBidi" w:hAnsiTheme="majorBidi" w:cstheme="majorBidi"/>
          <w:sz w:val="24"/>
          <w:szCs w:val="24"/>
        </w:rPr>
        <w:t>terrestres.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Le recyclage permet de réaliser des économies de minerai,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charbon, de chaux et d’oxygène.</w:t>
      </w:r>
    </w:p>
    <w:p w:rsidR="008E77C1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824865</wp:posOffset>
            </wp:positionV>
            <wp:extent cx="4352925" cy="3000375"/>
            <wp:effectExtent l="19050" t="0" r="9525" b="0"/>
            <wp:wrapTopAndBottom/>
            <wp:docPr id="2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870" t="24118" r="28221" b="8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055">
        <w:rPr>
          <w:rFonts w:asciiTheme="majorBidi" w:hAnsiTheme="majorBidi" w:cstheme="majorBidi"/>
          <w:sz w:val="24"/>
          <w:szCs w:val="24"/>
        </w:rPr>
        <w:t>Examinons les chiffres de consommation mondiale de matières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premières et secondaires par l’industrie sidérurgique en 2003, déclarés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par l’IISI dans son Steel Statistical Yearbook (voir tableau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A41055">
        <w:rPr>
          <w:rFonts w:asciiTheme="majorBidi" w:hAnsiTheme="majorBidi" w:cstheme="majorBidi"/>
          <w:sz w:val="24"/>
          <w:szCs w:val="24"/>
        </w:rPr>
        <w:t>).</w:t>
      </w:r>
      <w:r w:rsidRPr="00900E5C">
        <w:rPr>
          <w:rFonts w:asciiTheme="majorBidi" w:hAnsiTheme="majorBidi" w:cstheme="majorBidi"/>
          <w:sz w:val="24"/>
          <w:szCs w:val="24"/>
        </w:rPr>
        <w:t xml:space="preserve"> 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Il est difficile d’effectuer un bilan matière exact, dans la mesure où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les chiffres indiqués recouvrent des variations de stocks possibles.</w:t>
      </w:r>
    </w:p>
    <w:p w:rsidR="008E77C1" w:rsidRPr="00A41055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Toutefois, si nous en restons aux ordres de grandeurs, il devient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possible d’évaluer que le fait d’avoir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consommé 400 Mt de ferrailles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pour produire l’acier procure, à minima, une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économie </w:t>
      </w:r>
      <w:r w:rsidRPr="00A41055">
        <w:rPr>
          <w:rFonts w:asciiTheme="majorBidi" w:hAnsiTheme="majorBidi" w:cstheme="majorBidi"/>
          <w:sz w:val="24"/>
          <w:szCs w:val="24"/>
        </w:rPr>
        <w:t>de plus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600 Mt de minerai </w:t>
      </w:r>
      <w:r w:rsidRPr="00A41055">
        <w:rPr>
          <w:rFonts w:asciiTheme="majorBidi" w:hAnsiTheme="majorBidi" w:cstheme="majorBidi"/>
          <w:sz w:val="24"/>
          <w:szCs w:val="24"/>
        </w:rPr>
        <w:t xml:space="preserve">et de plus de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250 Mt de charbon.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hAnsiTheme="majorBidi" w:cstheme="majorBidi"/>
          <w:b/>
          <w:bCs/>
          <w:sz w:val="24"/>
          <w:szCs w:val="24"/>
        </w:rPr>
        <w:t>1.3 Mise en œuvre et perspectives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hAnsiTheme="majorBidi" w:cstheme="majorBidi"/>
          <w:b/>
          <w:bCs/>
          <w:sz w:val="24"/>
          <w:szCs w:val="24"/>
        </w:rPr>
        <w:t>1.3.1 La seconde vie des déchets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La Commission de Bruxelles a défini une échelle de valeur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noter le traitement des biens et produits en fin de vie. Nous en décrivons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ci-dessous les étapes, par ordre croissant d’intérêt.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Abandon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Le premier échelon, ce contre quoi il faut lutter, tant pour limiter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les effets sur l’environnement, que pour économiser les ressources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naturelles.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lastRenderedPageBreak/>
        <w:t>Cet abandon peut-être sauvage, dans le pire des cas, ou maîtrisé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 xml:space="preserve">dans des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centres d’enfouissement techniques</w:t>
      </w:r>
      <w:r w:rsidRPr="00982D47">
        <w:rPr>
          <w:rFonts w:asciiTheme="majorBidi" w:hAnsiTheme="majorBidi" w:cstheme="majorBidi"/>
          <w:sz w:val="24"/>
          <w:szCs w:val="24"/>
        </w:rPr>
        <w:t>. Quoiqu’il en soit, 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procédé conduit à un gaspillage de matières secondaires.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Valorisation énergétique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Ce procédé a le mérite, s’agissant de produits combustibles, d’en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réduire les effets sur l’environnement et d’économiser pétrole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charbon. Ce mode de valorisation est toutefois fort critiqué par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mouvements écologistes à cause des risques de rejets dans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l’atmosphère.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Les nouvelles technologies, mises en place dans les gros incinérateurs,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devraient néanmoins faire disparaître cette crainte et réhabiliter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ce mode de traitement.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Valorisation chimique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S’applique à des produits de synthèse que l’on pourra recréer,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boucle ouverte ou fermée, sans utiliser de nouvelle matière première.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Procédé fortement prôné par les plasturgistes et chimistes.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Valorisation matière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Pratiquée pour les matériaux traditionnels, métaux, verre, papiers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et cartons et pour certains produits composites, élastomères et plastiques.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C’est la boucle, ouverte ou fermée, la plus représentative du recyclage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idéal et la plus recommandée par les législateurs.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47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2D47">
        <w:rPr>
          <w:rFonts w:asciiTheme="majorBidi" w:hAnsiTheme="majorBidi" w:cstheme="majorBidi"/>
          <w:b/>
          <w:bCs/>
          <w:sz w:val="24"/>
          <w:szCs w:val="24"/>
        </w:rPr>
        <w:t>Réemploi</w:t>
      </w:r>
    </w:p>
    <w:p w:rsidR="008E77C1" w:rsidRPr="00982D47" w:rsidRDefault="008E77C1" w:rsidP="008E7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47">
        <w:rPr>
          <w:rFonts w:asciiTheme="majorBidi" w:hAnsiTheme="majorBidi" w:cstheme="majorBidi"/>
          <w:sz w:val="24"/>
          <w:szCs w:val="24"/>
        </w:rPr>
        <w:t>C’est une prolongation de la vie des produits auprès de consommateurs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plus pauvres ou moins exigeants. Cette pratique a ses limites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puisque aucun bien n’est éternel. De plus, l’usage de biens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vétustes peut avoir des conséquences plus graves pour l’environnement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que l’usage de biens neufs bénéficiant des dernières avancées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2D47">
        <w:rPr>
          <w:rFonts w:asciiTheme="majorBidi" w:hAnsiTheme="majorBidi" w:cstheme="majorBidi"/>
          <w:sz w:val="24"/>
          <w:szCs w:val="24"/>
        </w:rPr>
        <w:t>technologiques.</w:t>
      </w:r>
    </w:p>
    <w:p w:rsidR="00635921" w:rsidRDefault="00635921"/>
    <w:sectPr w:rsidR="00635921" w:rsidSect="000447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005" w:rsidRDefault="00740005" w:rsidP="00A418BE">
      <w:pPr>
        <w:spacing w:after="0" w:line="240" w:lineRule="auto"/>
      </w:pPr>
      <w:r>
        <w:separator/>
      </w:r>
    </w:p>
  </w:endnote>
  <w:endnote w:type="continuationSeparator" w:id="1">
    <w:p w:rsidR="00740005" w:rsidRDefault="00740005" w:rsidP="00A4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74368"/>
      <w:docPartObj>
        <w:docPartGallery w:val="Page Numbers (Bottom of Page)"/>
        <w:docPartUnique/>
      </w:docPartObj>
    </w:sdtPr>
    <w:sdtContent>
      <w:p w:rsidR="00BF4207" w:rsidRDefault="00BF4207">
        <w:pPr>
          <w:pStyle w:val="Pieddepage"/>
        </w:pPr>
        <w:fldSimple w:instr=" PAGE   \* MERGEFORMAT ">
          <w:r w:rsidR="000447AB">
            <w:rPr>
              <w:noProof/>
            </w:rPr>
            <w:t>7</w:t>
          </w:r>
        </w:fldSimple>
      </w:p>
    </w:sdtContent>
  </w:sdt>
  <w:p w:rsidR="004A247F" w:rsidRDefault="004A24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005" w:rsidRDefault="00740005" w:rsidP="00A418BE">
      <w:pPr>
        <w:spacing w:after="0" w:line="240" w:lineRule="auto"/>
      </w:pPr>
      <w:r>
        <w:separator/>
      </w:r>
    </w:p>
  </w:footnote>
  <w:footnote w:type="continuationSeparator" w:id="1">
    <w:p w:rsidR="00740005" w:rsidRDefault="00740005" w:rsidP="00A4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BE" w:rsidRPr="00A418BE" w:rsidRDefault="00A418BE" w:rsidP="00A418BE">
    <w:pPr>
      <w:pStyle w:val="En-tte"/>
      <w:jc w:val="center"/>
      <w:rPr>
        <w:sz w:val="20"/>
        <w:szCs w:val="20"/>
      </w:rPr>
    </w:pPr>
    <w:r w:rsidRPr="00A418BE">
      <w:rPr>
        <w:sz w:val="20"/>
        <w:szCs w:val="20"/>
      </w:rPr>
      <w:t>Recyclage et valorisation des matériaux</w:t>
    </w:r>
  </w:p>
  <w:p w:rsidR="00A418BE" w:rsidRPr="00A418BE" w:rsidRDefault="00A418BE" w:rsidP="00A418BE">
    <w:pPr>
      <w:pStyle w:val="En-tte"/>
      <w:jc w:val="center"/>
      <w:rPr>
        <w:sz w:val="20"/>
        <w:szCs w:val="20"/>
      </w:rPr>
    </w:pPr>
    <w:r w:rsidRPr="00A418BE">
      <w:rPr>
        <w:sz w:val="20"/>
        <w:szCs w:val="20"/>
      </w:rPr>
      <w:t xml:space="preserve">Partie 2. Semaine du 11.04.20 </w:t>
    </w:r>
    <w:r>
      <w:rPr>
        <w:sz w:val="20"/>
        <w:szCs w:val="20"/>
      </w:rPr>
      <w:t xml:space="preserve">                                                                                           </w:t>
    </w:r>
    <w:r w:rsidRPr="00A418BE">
      <w:rPr>
        <w:sz w:val="20"/>
        <w:szCs w:val="20"/>
      </w:rPr>
      <w:t>Recyclage des déchets ferreux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68D"/>
    <w:rsid w:val="000447AB"/>
    <w:rsid w:val="002F1FB2"/>
    <w:rsid w:val="00413C04"/>
    <w:rsid w:val="004A247F"/>
    <w:rsid w:val="00635921"/>
    <w:rsid w:val="00740005"/>
    <w:rsid w:val="008E77C1"/>
    <w:rsid w:val="00A418BE"/>
    <w:rsid w:val="00BF4207"/>
    <w:rsid w:val="00BF768D"/>
    <w:rsid w:val="00C1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2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C1"/>
    <w:pPr>
      <w:spacing w:before="0" w:after="200"/>
      <w:ind w:left="0" w:firstLine="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18B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8BE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2020-04-17T10:13:00Z</dcterms:created>
  <dcterms:modified xsi:type="dcterms:W3CDTF">2020-04-17T10:35:00Z</dcterms:modified>
</cp:coreProperties>
</file>