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III  R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ecyclage des déchets ferreux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Introduction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</w:t>
      </w:r>
      <w:r w:rsidRPr="00A41055">
        <w:rPr>
          <w:rFonts w:asciiTheme="majorBidi" w:hAnsiTheme="majorBidi" w:cstheme="majorBidi"/>
          <w:sz w:val="24"/>
          <w:szCs w:val="24"/>
        </w:rPr>
        <w:t xml:space="preserve">recyclage des déchets ferreux est une pratique remontant à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l’origine de la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métallurgie</w:t>
      </w:r>
      <w:r w:rsidRPr="00A41055">
        <w:rPr>
          <w:rFonts w:asciiTheme="majorBidi" w:hAnsiTheme="majorBidi" w:cstheme="majorBidi"/>
          <w:sz w:val="24"/>
          <w:szCs w:val="24"/>
        </w:rPr>
        <w:t>. Elle trouve sa justification dans le besoin d’économiser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efforts et de l’énergie, en raccourcissant le cycle d’élaboration de l’acier.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Cette pratique a ainsi permis de développer une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filière secondaire </w:t>
      </w:r>
      <w:r w:rsidRPr="00A41055">
        <w:rPr>
          <w:rFonts w:asciiTheme="majorBidi" w:hAnsiTheme="majorBidi" w:cstheme="majorBidi"/>
          <w:sz w:val="24"/>
          <w:szCs w:val="24"/>
        </w:rPr>
        <w:t>de production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de fonte et d’acier, basée sur la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fusion de ferrailles </w:t>
      </w:r>
      <w:r w:rsidRPr="00A41055">
        <w:rPr>
          <w:rFonts w:asciiTheme="majorBidi" w:hAnsiTheme="majorBidi" w:cstheme="majorBidi"/>
          <w:sz w:val="24"/>
          <w:szCs w:val="24"/>
        </w:rPr>
        <w:t>dans un four à arc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dans un cubilot, moins coûteuse en énergie et nécessitant des investissements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plus légers que la filière primaire, basée sur la réduction des oxydes de fer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contenus dans les minerais.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Le recyclage des produits ferreux est favorisé par deux caractéristiques essentielles,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leur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composition chimique simple </w:t>
      </w:r>
      <w:r w:rsidRPr="00A41055">
        <w:rPr>
          <w:rFonts w:asciiTheme="majorBidi" w:hAnsiTheme="majorBidi" w:cstheme="majorBidi"/>
          <w:sz w:val="24"/>
          <w:szCs w:val="24"/>
        </w:rPr>
        <w:t>qui rend leur fusion aisée et permet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répéter l’opération de recyclage un grand nombre de fois et leur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sensibilité 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l’attraction électromagnétique </w:t>
      </w:r>
      <w:r w:rsidRPr="00A41055">
        <w:rPr>
          <w:rFonts w:asciiTheme="majorBidi" w:hAnsiTheme="majorBidi" w:cstheme="majorBidi"/>
          <w:sz w:val="24"/>
          <w:szCs w:val="24"/>
        </w:rPr>
        <w:t>qui permet leur séparation, facile également,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avec les autres matériaux.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 Considérations générales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1.1 Naissance, vie et mort d’un produit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La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prise de conscience </w:t>
      </w:r>
      <w:r w:rsidRPr="00A41055">
        <w:rPr>
          <w:rFonts w:asciiTheme="majorBidi" w:hAnsiTheme="majorBidi" w:cstheme="majorBidi"/>
          <w:sz w:val="24"/>
          <w:szCs w:val="24"/>
        </w:rPr>
        <w:t>de la fin de vie d’un objet est une notion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nouvelle dans notre société moderne, prioritairement orientée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jusqu’ici vers la consommation, la créativité, le développement, et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croissance.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Il est cependant aisé de comprendre qu’il en va des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biens d’équipement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et des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produits de consommation </w:t>
      </w:r>
      <w:r w:rsidRPr="00A41055">
        <w:rPr>
          <w:rFonts w:asciiTheme="majorBidi" w:hAnsiTheme="majorBidi" w:cstheme="majorBidi"/>
          <w:sz w:val="24"/>
          <w:szCs w:val="24"/>
        </w:rPr>
        <w:t>comme des humains,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leur vie n’a qu’un temps.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Si tous les biens étaient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biodégradables</w:t>
      </w:r>
      <w:r w:rsidRPr="00A41055">
        <w:rPr>
          <w:rFonts w:asciiTheme="majorBidi" w:hAnsiTheme="majorBidi" w:cstheme="majorBidi"/>
          <w:sz w:val="24"/>
          <w:szCs w:val="24"/>
        </w:rPr>
        <w:t>, du moins dans un délai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raisonnable, nous n’aurions probablement pas besoin de nous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interroger sur leur devenir. La persistance de l’existence des biens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usagés dans un état de dégradation progressive et les inconvénients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qu’ils finissent par générer introduisent le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concept de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déchet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Si le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traitement des déchets </w:t>
      </w:r>
      <w:r w:rsidRPr="00A41055">
        <w:rPr>
          <w:rFonts w:asciiTheme="majorBidi" w:hAnsiTheme="majorBidi" w:cstheme="majorBidi"/>
          <w:sz w:val="24"/>
          <w:szCs w:val="24"/>
        </w:rPr>
        <w:t>est motivé, au départ, par des aspects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pratiques de réduction des volumes encombrants et d’hygiène,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indispensables au bon fonctionnement de notre société, l’utilisation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systématique des matériaux les constituant pour fabriquer de nouveaux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objets, nécessite généralement une incitation externe,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aujourd’hui donnée par les Pouvoirs Publics.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Les métaux, </w:t>
      </w:r>
      <w:r w:rsidRPr="00A41055">
        <w:rPr>
          <w:rFonts w:asciiTheme="majorBidi" w:hAnsiTheme="majorBidi" w:cstheme="majorBidi"/>
          <w:sz w:val="24"/>
          <w:szCs w:val="24"/>
        </w:rPr>
        <w:t>en général, et les produits ferreux, en particulier, ont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fait, dès les origines de la métallurgie, l’objet d’un recyclage mû par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un ressort de type économique. Il est vite apparu en effet qu’il était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plus aisé, pour nombre d’applications, de refondre un objet métallique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usagé, plutôt que de repartir du minerai.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lastRenderedPageBreak/>
        <w:t xml:space="preserve">C’est pourquoi, dans un contexte de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développement durable </w:t>
      </w:r>
      <w:r w:rsidRPr="00A41055">
        <w:rPr>
          <w:rFonts w:asciiTheme="majorBidi" w:hAnsiTheme="majorBidi" w:cstheme="majorBidi"/>
          <w:sz w:val="24"/>
          <w:szCs w:val="24"/>
        </w:rPr>
        <w:t>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se fait jour au sein de notre société moderne, le recyclage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métaux et, surtout, des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produits ferreux </w:t>
      </w:r>
      <w:r w:rsidRPr="00A41055">
        <w:rPr>
          <w:rFonts w:asciiTheme="majorBidi" w:hAnsiTheme="majorBidi" w:cstheme="majorBidi"/>
          <w:sz w:val="24"/>
          <w:szCs w:val="24"/>
        </w:rPr>
        <w:t>a valeur d’exemple et crée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un effet d’entraînement pour nombre de produits, de plus en 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composites, c’est-à-dire constitués de différents matériaux plus ou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moins intimement liés entre eux, souvent difficiles à recycler.</w:t>
      </w:r>
    </w:p>
    <w:p w:rsidR="00181343" w:rsidRPr="00A41055" w:rsidRDefault="00181343" w:rsidP="00181343">
      <w:pPr>
        <w:pStyle w:val="Paragraphedeliste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Schéma type du recyclage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La signification du terme recyclage est différemment perçue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selon les sensibilités et les cultures, ce qui se traduit couramment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par une opposition entre les notions de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recyclage </w:t>
      </w:r>
      <w:r w:rsidRPr="00A41055">
        <w:rPr>
          <w:rFonts w:asciiTheme="majorBidi" w:hAnsiTheme="majorBidi" w:cstheme="majorBidi"/>
          <w:sz w:val="24"/>
          <w:szCs w:val="24"/>
        </w:rPr>
        <w:t>et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valorisation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Au sens métallurgique du terme, le recyclage constitue bel 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bien un retour de la matière à la matière, avec une constante,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l’atome métallique concerné.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Mais le recyclage peut-être aussi perçu comme une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réutilisation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 produit ou de matière dans d’autres applications, voire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comme une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transformation de matière en énergie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Ceci nous amène à définir les notions de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recyclage en boucle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ouverte </w:t>
      </w:r>
      <w:r w:rsidRPr="00A41055">
        <w:rPr>
          <w:rFonts w:asciiTheme="majorBidi" w:hAnsiTheme="majorBidi" w:cstheme="majorBidi"/>
          <w:sz w:val="24"/>
          <w:szCs w:val="24"/>
        </w:rPr>
        <w:t xml:space="preserve">et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recyclage en boucle fermée</w:t>
      </w:r>
      <w:r w:rsidRPr="00A41055">
        <w:rPr>
          <w:rFonts w:asciiTheme="majorBidi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Recyclage en boucle ouverte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1624330</wp:posOffset>
            </wp:positionH>
            <wp:positionV relativeFrom="paragraph">
              <wp:posOffset>801370</wp:posOffset>
            </wp:positionV>
            <wp:extent cx="3629025" cy="2009775"/>
            <wp:effectExtent l="19050" t="0" r="9525" b="0"/>
            <wp:wrapTopAndBottom/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1247" t="32941" r="31527" b="105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055">
        <w:rPr>
          <w:rFonts w:asciiTheme="majorBidi" w:hAnsiTheme="majorBidi" w:cstheme="majorBidi"/>
          <w:sz w:val="24"/>
          <w:szCs w:val="24"/>
        </w:rPr>
        <w:t xml:space="preserve">C’est le cas le plus fréquent du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recyclage matière</w:t>
      </w:r>
      <w:r w:rsidRPr="00A41055">
        <w:rPr>
          <w:rFonts w:asciiTheme="majorBidi" w:hAnsiTheme="majorBidi" w:cstheme="majorBidi"/>
          <w:sz w:val="24"/>
          <w:szCs w:val="24"/>
        </w:rPr>
        <w:t>. Un matériau,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contenu dans un produit, participe à la naissance d’un produit différent,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en complément ou non d’une matière première de même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nature (figure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1</w:t>
      </w:r>
      <w:r w:rsidRPr="00A41055">
        <w:rPr>
          <w:rFonts w:asciiTheme="majorBidi" w:hAnsiTheme="majorBidi" w:cstheme="majorBidi"/>
          <w:sz w:val="24"/>
          <w:szCs w:val="24"/>
        </w:rPr>
        <w:t>).</w:t>
      </w:r>
    </w:p>
    <w:p w:rsidR="00181343" w:rsidRPr="005C1E0B" w:rsidRDefault="00181343" w:rsidP="00181343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1E0B">
        <w:rPr>
          <w:rFonts w:asciiTheme="majorBidi" w:hAnsiTheme="majorBidi" w:cstheme="majorBidi"/>
          <w:b/>
          <w:bCs/>
          <w:sz w:val="24"/>
          <w:szCs w:val="24"/>
        </w:rPr>
        <w:t>Figure 01, Recyclage en boucle ouverte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Ainsi, dans le cas de l’acier, une boîte de conserve peut-elle être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transformée en acier pour automobile et réciproquement.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Recyclage en boucle fermée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Ceci correspond à un cas de figure plus rare, assez théorique et,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malgré tout, prôné par les puristes du recyclage (voir figure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2</w:t>
      </w:r>
      <w:r w:rsidRPr="00A41055">
        <w:rPr>
          <w:rFonts w:asciiTheme="majorBidi" w:hAnsiTheme="majorBidi" w:cstheme="majorBidi"/>
          <w:sz w:val="24"/>
          <w:szCs w:val="24"/>
        </w:rPr>
        <w:t>).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lastRenderedPageBreak/>
        <w:t>Bien qu’elle apparaisse plus séduisante sur le plan conceptuel, la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boucle fermée s’oppose souvent à la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réalité économique du marché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des produits à recycler que nous appellerons, dans la suite de cet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article, 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matières secondaires</w:t>
      </w:r>
      <w:r w:rsidRPr="00A41055">
        <w:rPr>
          <w:rFonts w:asciiTheme="majorBidi" w:hAnsiTheme="majorBidi" w:cstheme="majorBidi"/>
          <w:sz w:val="24"/>
          <w:szCs w:val="24"/>
        </w:rPr>
        <w:t>, par symétrie avec les matières premières.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Ainsi, dans le cas de l’acier, la proximité d’une aciérie avec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une source de ferrailles prime-t-elle sur la nature du produit qui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génère cette source. 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1024255</wp:posOffset>
            </wp:positionH>
            <wp:positionV relativeFrom="paragraph">
              <wp:posOffset>353695</wp:posOffset>
            </wp:positionV>
            <wp:extent cx="3124200" cy="1428750"/>
            <wp:effectExtent l="19050" t="0" r="0" b="0"/>
            <wp:wrapTopAndBottom/>
            <wp:docPr id="19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3893" t="30882" r="31858" b="249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343" w:rsidRPr="005C1E0B" w:rsidRDefault="00181343" w:rsidP="00181343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1E0B">
        <w:rPr>
          <w:rFonts w:asciiTheme="majorBidi" w:hAnsiTheme="majorBidi" w:cstheme="majorBidi"/>
          <w:b/>
          <w:bCs/>
          <w:sz w:val="24"/>
          <w:szCs w:val="24"/>
        </w:rPr>
        <w:t>Figure 02, Recyclage en boucle fermée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1.1.2 Durée de vie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C’est un élément essentiel à la connaissance du gisement disponible.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Elle est </w:t>
      </w:r>
      <w:r w:rsidRPr="00A41055">
        <w:rPr>
          <w:rFonts w:asciiTheme="majorBidi" w:eastAsia="ZapfDingbats" w:hAnsiTheme="majorBidi" w:cstheme="majorBidi"/>
          <w:b/>
          <w:bCs/>
          <w:sz w:val="24"/>
          <w:szCs w:val="24"/>
        </w:rPr>
        <w:t>très variable selon les biens</w:t>
      </w:r>
      <w:r w:rsidRPr="00A41055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En matière de produits ferreux, il est commode d’aborder la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réflexion par segment de marché d’utilisation des biens :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emballages ;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équipements domestiques, électroménager ;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automobiles ;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construction mécanique ;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bâtiment ;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— travaux publics et génie civil.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eastAsia="ZapfDingbats" w:hAnsiTheme="majorBidi" w:cstheme="majorBidi"/>
          <w:b/>
          <w:bCs/>
          <w:sz w:val="24"/>
          <w:szCs w:val="24"/>
        </w:rPr>
        <w:t xml:space="preserve">Sa gestion prévisionnelle </w:t>
      </w: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est </w:t>
      </w:r>
      <w:r w:rsidRPr="00A41055">
        <w:rPr>
          <w:rFonts w:asciiTheme="majorBidi" w:eastAsia="ZapfDingbats" w:hAnsiTheme="majorBidi" w:cstheme="majorBidi"/>
          <w:b/>
          <w:bCs/>
          <w:sz w:val="24"/>
          <w:szCs w:val="24"/>
        </w:rPr>
        <w:t>difficile</w:t>
      </w:r>
      <w:r w:rsidRPr="00A41055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S’il est aisé de connaître les quantités d’acier mises sur le marché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une année donnée, il est beaucoup plus difficile de faire des prévisions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de mise à disposition de ferrailles au cours de cette même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année.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La précision sur l’évaluation des durées de vies des biens et produits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de consommation est, en effet, inversement proportionnelle à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l’importance de cette durée de vie. Le tableau </w:t>
      </w:r>
      <w:r w:rsidRPr="00A41055">
        <w:rPr>
          <w:rFonts w:asciiTheme="majorBidi" w:eastAsia="ZapfDingbats" w:hAnsiTheme="majorBidi" w:cstheme="majorBidi"/>
          <w:b/>
          <w:bCs/>
          <w:sz w:val="24"/>
          <w:szCs w:val="24"/>
        </w:rPr>
        <w:t>1</w:t>
      </w:r>
      <w:r w:rsidRPr="00A41055">
        <w:rPr>
          <w:rFonts w:asciiTheme="majorBidi" w:eastAsia="ZapfDingbats" w:hAnsiTheme="majorBidi" w:cstheme="majorBidi"/>
          <w:sz w:val="24"/>
          <w:szCs w:val="24"/>
        </w:rPr>
        <w:t>, qui n’indique que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des ordres de grandeurs basés sur l’observation des phénomènes,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donne une idée de cette </w:t>
      </w:r>
      <w:r w:rsidRPr="00A41055">
        <w:rPr>
          <w:rFonts w:asciiTheme="majorBidi" w:eastAsia="ZapfDingbats" w:hAnsiTheme="majorBidi" w:cstheme="majorBidi"/>
          <w:b/>
          <w:bCs/>
          <w:sz w:val="24"/>
          <w:szCs w:val="24"/>
        </w:rPr>
        <w:t>incertitude structurelle</w:t>
      </w:r>
      <w:r w:rsidRPr="00A41055">
        <w:rPr>
          <w:rFonts w:asciiTheme="majorBidi" w:eastAsia="ZapfDingbats" w:hAnsiTheme="majorBidi" w:cstheme="majorBidi"/>
          <w:sz w:val="24"/>
          <w:szCs w:val="24"/>
        </w:rPr>
        <w:t>.</w:t>
      </w: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lastRenderedPageBreak/>
        <w:t>L’absence de statistiques fiables, tant au niveau de la collecte des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produits en fin de vie, qu’au niveau de la génération des matières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secondaires issues de ces produits, complique encore le problème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en créant une incertitude du deuxième ordre sur les durées de vie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constatées.</w:t>
      </w: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>
        <w:rPr>
          <w:rFonts w:asciiTheme="majorBidi" w:eastAsia="ZapfDingbats" w:hAnsiTheme="majorBidi" w:cstheme="majorBidi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-33020</wp:posOffset>
            </wp:positionV>
            <wp:extent cx="4676775" cy="2628900"/>
            <wp:effectExtent l="19050" t="0" r="9525" b="0"/>
            <wp:wrapTopAndBottom/>
            <wp:docPr id="21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4628" t="26471" r="40618" b="18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ZapfDingbats" w:hAnsiTheme="majorBidi" w:cstheme="majorBidi"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>Enfin, comble de malchance, ce sont les produits sur lesquels il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est le plus difficile de faire des prévisions qui représentent les plus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fortes quantités de matières à recycler, en l’occurrence les secteurs</w:t>
      </w:r>
      <w:r>
        <w:rPr>
          <w:rFonts w:asciiTheme="majorBidi" w:eastAsia="ZapfDingbats" w:hAnsiTheme="majorBidi" w:cstheme="majorBidi"/>
          <w:sz w:val="24"/>
          <w:szCs w:val="24"/>
        </w:rPr>
        <w:t xml:space="preserve"> </w:t>
      </w:r>
      <w:r w:rsidRPr="00A41055">
        <w:rPr>
          <w:rFonts w:asciiTheme="majorBidi" w:eastAsia="ZapfDingbats" w:hAnsiTheme="majorBidi" w:cstheme="majorBidi"/>
          <w:sz w:val="24"/>
          <w:szCs w:val="24"/>
        </w:rPr>
        <w:t>du bâtiment et des ouvrages d’Art.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1.2 Les justifications du recyclage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Si le recyclage de matières usagées est une opération, ainsi que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nous l’avons mentionné en tête de ce propos, ayant à l’origine un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développement naturel </w:t>
      </w:r>
      <w:r w:rsidRPr="00A41055">
        <w:rPr>
          <w:rFonts w:asciiTheme="majorBidi" w:hAnsiTheme="majorBidi" w:cstheme="majorBidi"/>
          <w:sz w:val="24"/>
          <w:szCs w:val="24"/>
        </w:rPr>
        <w:t xml:space="preserve">dans la mesure où elle répond à un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besoin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économique</w:t>
      </w:r>
      <w:r w:rsidRPr="00A41055">
        <w:rPr>
          <w:rFonts w:asciiTheme="majorBidi" w:hAnsiTheme="majorBidi" w:cstheme="majorBidi"/>
          <w:sz w:val="24"/>
          <w:szCs w:val="24"/>
        </w:rPr>
        <w:t>, la prise de conscience de la notion de recyclage, tant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par les pouvoirs publics que par les citoyens, est un nouveau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phénomène.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L’inventaire de ce que nous pouvons dénommer 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moteurs du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recyclage </w:t>
      </w:r>
      <w:r w:rsidRPr="00A41055">
        <w:rPr>
          <w:rFonts w:asciiTheme="majorBidi" w:hAnsiTheme="majorBidi" w:cstheme="majorBidi"/>
          <w:sz w:val="24"/>
          <w:szCs w:val="24"/>
        </w:rPr>
        <w:t>est révélateur d’un changement de comportement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notre société.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hAnsiTheme="majorBidi" w:cstheme="majorBidi"/>
          <w:b/>
          <w:bCs/>
          <w:sz w:val="24"/>
          <w:szCs w:val="24"/>
        </w:rPr>
        <w:t>1.2.1 Demande du marché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 xml:space="preserve">Les consommateurs de produits ferreux recyclés sont 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moteurs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 xml:space="preserve">économiques </w:t>
      </w:r>
      <w:r w:rsidRPr="00A41055">
        <w:rPr>
          <w:rFonts w:asciiTheme="majorBidi" w:hAnsiTheme="majorBidi" w:cstheme="majorBidi"/>
          <w:sz w:val="24"/>
          <w:szCs w:val="24"/>
        </w:rPr>
        <w:t>du système.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fonderies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Elles achètent dans le négoce un tonnage équivalent à celui des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pièces qu’elles mettent sur le marché, essentiellement dans l’automobile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et la construction mécanique.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aciéries électriques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t>Elles produisent, selon les pays, 30 à 70 % de l’acier brut élaboré,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la moyenne mondiale se situant, en 2004, à 33 %, tandis que celle de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la Communauté Européenne est voisine de 40 %.</w:t>
      </w: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41055">
        <w:rPr>
          <w:rFonts w:asciiTheme="majorBidi" w:hAnsiTheme="majorBidi" w:cstheme="majorBidi"/>
          <w:sz w:val="24"/>
          <w:szCs w:val="24"/>
        </w:rPr>
        <w:lastRenderedPageBreak/>
        <w:t>C’est la filière de recyclage des produits ferreux par excellence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puisque sa production d’acier se fait presque exclusivement à partir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de ferrailles (figure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41055">
        <w:rPr>
          <w:rFonts w:asciiTheme="majorBidi" w:hAnsiTheme="majorBidi" w:cstheme="majorBidi"/>
          <w:sz w:val="24"/>
          <w:szCs w:val="24"/>
        </w:rPr>
        <w:t>).</w:t>
      </w: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81343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41055">
        <w:rPr>
          <w:rFonts w:asciiTheme="majorBidi" w:eastAsia="ZapfDingbats" w:hAnsiTheme="majorBidi" w:cstheme="majorBidi"/>
          <w:sz w:val="24"/>
          <w:szCs w:val="24"/>
        </w:rPr>
        <w:t xml:space="preserve">■ </w:t>
      </w:r>
      <w:r w:rsidRPr="00A41055">
        <w:rPr>
          <w:rFonts w:asciiTheme="majorBidi" w:hAnsiTheme="majorBidi" w:cstheme="majorBidi"/>
          <w:sz w:val="24"/>
          <w:szCs w:val="24"/>
        </w:rPr>
        <w:t xml:space="preserve">Les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aciéries de conversion</w:t>
      </w:r>
    </w:p>
    <w:p w:rsidR="00181343" w:rsidRPr="00A41055" w:rsidRDefault="00181343" w:rsidP="0018134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176530</wp:posOffset>
            </wp:positionH>
            <wp:positionV relativeFrom="paragraph">
              <wp:posOffset>879475</wp:posOffset>
            </wp:positionV>
            <wp:extent cx="5362575" cy="2676525"/>
            <wp:effectExtent l="19050" t="0" r="9525" b="0"/>
            <wp:wrapTopAndBottom/>
            <wp:docPr id="20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5785" t="20882" r="33015" b="55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1055">
        <w:rPr>
          <w:rFonts w:asciiTheme="majorBidi" w:hAnsiTheme="majorBidi" w:cstheme="majorBidi"/>
          <w:sz w:val="24"/>
          <w:szCs w:val="24"/>
        </w:rPr>
        <w:t xml:space="preserve">Bien que produisant, par définition, de l’acier à partir de fonte </w:t>
      </w:r>
      <w:r>
        <w:rPr>
          <w:rFonts w:asciiTheme="majorBidi" w:hAnsiTheme="majorBidi" w:cstheme="majorBidi"/>
          <w:sz w:val="24"/>
          <w:szCs w:val="24"/>
        </w:rPr>
        <w:t xml:space="preserve">elle-même </w:t>
      </w:r>
      <w:r w:rsidRPr="00A41055">
        <w:rPr>
          <w:rFonts w:asciiTheme="majorBidi" w:hAnsiTheme="majorBidi" w:cstheme="majorBidi"/>
          <w:sz w:val="24"/>
          <w:szCs w:val="24"/>
        </w:rPr>
        <w:t>issue du minerai, cette filière, encore appelée primaire, peut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consommer jusqu’à 20-25 % de ferrailles. Nous en décrirons plus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>loin les raisons techniques structurelles et les nouvelles motivations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A41055">
        <w:rPr>
          <w:rFonts w:asciiTheme="majorBidi" w:hAnsiTheme="majorBidi" w:cstheme="majorBidi"/>
          <w:sz w:val="24"/>
          <w:szCs w:val="24"/>
        </w:rPr>
        <w:t xml:space="preserve">(figure </w:t>
      </w:r>
      <w:r w:rsidRPr="00A41055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A41055">
        <w:rPr>
          <w:rFonts w:asciiTheme="majorBidi" w:hAnsiTheme="majorBidi" w:cstheme="majorBidi"/>
          <w:sz w:val="24"/>
          <w:szCs w:val="24"/>
        </w:rPr>
        <w:t>).</w:t>
      </w:r>
    </w:p>
    <w:p w:rsidR="00635921" w:rsidRDefault="00181343" w:rsidP="00181343">
      <w:pPr>
        <w:jc w:val="center"/>
      </w:pPr>
      <w:r w:rsidRPr="004F1AC7">
        <w:rPr>
          <w:rFonts w:asciiTheme="majorBidi" w:hAnsiTheme="majorBidi" w:cstheme="majorBidi"/>
          <w:b/>
          <w:bCs/>
          <w:sz w:val="24"/>
          <w:szCs w:val="24"/>
        </w:rPr>
        <w:t>Figure 03 Les deux routes de recyclage de l’acier</w:t>
      </w:r>
    </w:p>
    <w:sectPr w:rsidR="00635921" w:rsidSect="0063592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888" w:rsidRDefault="00AA1888" w:rsidP="00C60A4F">
      <w:pPr>
        <w:spacing w:after="0" w:line="240" w:lineRule="auto"/>
      </w:pPr>
      <w:r>
        <w:separator/>
      </w:r>
    </w:p>
  </w:endnote>
  <w:endnote w:type="continuationSeparator" w:id="1">
    <w:p w:rsidR="00AA1888" w:rsidRDefault="00AA1888" w:rsidP="00C60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240188"/>
      <w:docPartObj>
        <w:docPartGallery w:val="Page Numbers (Bottom of Page)"/>
        <w:docPartUnique/>
      </w:docPartObj>
    </w:sdtPr>
    <w:sdtContent>
      <w:p w:rsidR="007A3BA3" w:rsidRDefault="007A3BA3">
        <w:pPr>
          <w:pStyle w:val="Pieddepage"/>
        </w:pPr>
        <w:fldSimple w:instr=" PAGE   \* MERGEFORMAT ">
          <w:r w:rsidR="00B5015D">
            <w:rPr>
              <w:noProof/>
            </w:rPr>
            <w:t>1</w:t>
          </w:r>
        </w:fldSimple>
      </w:p>
    </w:sdtContent>
  </w:sdt>
  <w:p w:rsidR="00C60A4F" w:rsidRDefault="00C60A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888" w:rsidRDefault="00AA1888" w:rsidP="00C60A4F">
      <w:pPr>
        <w:spacing w:after="0" w:line="240" w:lineRule="auto"/>
      </w:pPr>
      <w:r>
        <w:separator/>
      </w:r>
    </w:p>
  </w:footnote>
  <w:footnote w:type="continuationSeparator" w:id="1">
    <w:p w:rsidR="00AA1888" w:rsidRDefault="00AA1888" w:rsidP="00C60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A4F" w:rsidRPr="00697FFB" w:rsidRDefault="00C60A4F" w:rsidP="00697FFB">
    <w:pPr>
      <w:pStyle w:val="En-tte"/>
      <w:jc w:val="center"/>
      <w:rPr>
        <w:rFonts w:asciiTheme="majorBidi" w:hAnsiTheme="majorBidi" w:cstheme="majorBidi"/>
        <w:sz w:val="18"/>
        <w:szCs w:val="18"/>
      </w:rPr>
    </w:pPr>
    <w:r w:rsidRPr="00697FFB">
      <w:rPr>
        <w:rFonts w:asciiTheme="majorBidi" w:hAnsiTheme="majorBidi" w:cstheme="majorBidi"/>
        <w:sz w:val="18"/>
        <w:szCs w:val="18"/>
      </w:rPr>
      <w:t>Recyclage et valorisation des matériaux</w:t>
    </w:r>
  </w:p>
  <w:p w:rsidR="00C60A4F" w:rsidRPr="00697FFB" w:rsidRDefault="00C60A4F" w:rsidP="00697FFB">
    <w:pPr>
      <w:pStyle w:val="En-tte"/>
      <w:jc w:val="center"/>
      <w:rPr>
        <w:rFonts w:asciiTheme="majorBidi" w:hAnsiTheme="majorBidi" w:cstheme="majorBidi"/>
        <w:sz w:val="18"/>
        <w:szCs w:val="18"/>
      </w:rPr>
    </w:pPr>
    <w:r w:rsidRPr="00697FFB">
      <w:rPr>
        <w:rFonts w:asciiTheme="majorBidi" w:hAnsiTheme="majorBidi" w:cstheme="majorBidi"/>
        <w:sz w:val="18"/>
        <w:szCs w:val="18"/>
      </w:rPr>
      <w:t xml:space="preserve">Partie 1. Semaine du 04.04.20 </w:t>
    </w:r>
    <w:r w:rsidR="00697FFB" w:rsidRPr="00697FFB">
      <w:rPr>
        <w:rFonts w:asciiTheme="majorBidi" w:hAnsiTheme="majorBidi" w:cstheme="majorBidi"/>
        <w:sz w:val="18"/>
        <w:szCs w:val="18"/>
      </w:rPr>
      <w:t xml:space="preserve">               </w:t>
    </w:r>
    <w:r w:rsidR="00697FFB">
      <w:rPr>
        <w:rFonts w:asciiTheme="majorBidi" w:hAnsiTheme="majorBidi" w:cstheme="majorBidi"/>
        <w:sz w:val="18"/>
        <w:szCs w:val="18"/>
      </w:rPr>
      <w:t xml:space="preserve">                             </w:t>
    </w:r>
    <w:r w:rsidR="00697FFB" w:rsidRPr="00697FFB">
      <w:rPr>
        <w:rFonts w:asciiTheme="majorBidi" w:hAnsiTheme="majorBidi" w:cstheme="majorBidi"/>
        <w:sz w:val="18"/>
        <w:szCs w:val="18"/>
      </w:rPr>
      <w:t xml:space="preserve">                                                         </w:t>
    </w:r>
    <w:r w:rsidRPr="00697FFB">
      <w:rPr>
        <w:rFonts w:asciiTheme="majorBidi" w:hAnsiTheme="majorBidi" w:cstheme="majorBidi"/>
        <w:sz w:val="18"/>
        <w:szCs w:val="18"/>
      </w:rPr>
      <w:t>Recyclage des déchets ferreux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1537A"/>
    <w:multiLevelType w:val="multilevel"/>
    <w:tmpl w:val="081455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FD5FF8"/>
    <w:rsid w:val="00181343"/>
    <w:rsid w:val="002578CA"/>
    <w:rsid w:val="00413C04"/>
    <w:rsid w:val="00635921"/>
    <w:rsid w:val="00697FFB"/>
    <w:rsid w:val="007A3BA3"/>
    <w:rsid w:val="00AA1888"/>
    <w:rsid w:val="00B5015D"/>
    <w:rsid w:val="00C60A4F"/>
    <w:rsid w:val="00FD5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240" w:after="120" w:line="276" w:lineRule="auto"/>
        <w:ind w:left="284" w:hanging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343"/>
    <w:pPr>
      <w:spacing w:before="0" w:after="200"/>
      <w:ind w:left="0" w:firstLine="0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134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60A4F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0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0A4F"/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1155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2020-04-17T10:08:00Z</dcterms:created>
  <dcterms:modified xsi:type="dcterms:W3CDTF">2020-04-17T10:28:00Z</dcterms:modified>
</cp:coreProperties>
</file>