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2AA" w:rsidRPr="001020DB" w:rsidRDefault="00A942AA" w:rsidP="00A942AA">
      <w:pPr>
        <w:jc w:val="center"/>
        <w:rPr>
          <w:rFonts w:asciiTheme="majorBidi" w:hAnsiTheme="majorBidi" w:cstheme="majorBidi"/>
          <w:sz w:val="36"/>
          <w:szCs w:val="36"/>
        </w:rPr>
      </w:pPr>
      <w:r w:rsidRPr="001020DB">
        <w:rPr>
          <w:rFonts w:asciiTheme="majorBidi" w:hAnsiTheme="majorBidi" w:cstheme="majorBidi"/>
          <w:b/>
          <w:bCs/>
          <w:i/>
          <w:iCs/>
          <w:sz w:val="36"/>
          <w:szCs w:val="36"/>
        </w:rPr>
        <w:t>Méthodes Géophysiques</w:t>
      </w:r>
    </w:p>
    <w:p w:rsidR="00A942AA" w:rsidRPr="001020DB" w:rsidRDefault="00A942AA" w:rsidP="00A942AA">
      <w:pPr>
        <w:jc w:val="both"/>
        <w:rPr>
          <w:rFonts w:asciiTheme="majorBidi" w:hAnsiTheme="majorBidi" w:cstheme="majorBidi"/>
          <w:b/>
          <w:bCs/>
          <w:sz w:val="24"/>
          <w:szCs w:val="24"/>
        </w:rPr>
      </w:pPr>
      <w:r w:rsidRPr="001020DB">
        <w:rPr>
          <w:rFonts w:asciiTheme="majorBidi" w:hAnsiTheme="majorBidi" w:cstheme="majorBidi"/>
          <w:b/>
          <w:bCs/>
          <w:sz w:val="24"/>
          <w:szCs w:val="24"/>
        </w:rPr>
        <w:t>Introduction</w:t>
      </w:r>
    </w:p>
    <w:p w:rsidR="00A942AA" w:rsidRPr="001020DB" w:rsidRDefault="00A942AA" w:rsidP="00A942AA">
      <w:pPr>
        <w:jc w:val="both"/>
        <w:rPr>
          <w:rFonts w:asciiTheme="majorBidi" w:hAnsiTheme="majorBidi" w:cstheme="majorBidi"/>
          <w:sz w:val="24"/>
          <w:szCs w:val="24"/>
        </w:rPr>
      </w:pPr>
      <w:r w:rsidRPr="001020DB">
        <w:rPr>
          <w:rFonts w:asciiTheme="majorBidi" w:hAnsiTheme="majorBidi" w:cstheme="majorBidi"/>
          <w:sz w:val="24"/>
          <w:szCs w:val="24"/>
        </w:rPr>
        <w:t xml:space="preserve">Les sciences de la Terre ont pour sujet l'étude de la nature, de la formation et de l'évolution du globe terrestre, de son centre à la limite supérieure de l'atmosphère. Elles font pour cela appel à de nombreuses disciplines, dont la géologie, l'océanographie physique et la météorologie,………. </w:t>
      </w:r>
    </w:p>
    <w:p w:rsidR="00A942AA" w:rsidRPr="001020DB" w:rsidRDefault="00A942AA" w:rsidP="00A942AA">
      <w:pPr>
        <w:jc w:val="both"/>
        <w:rPr>
          <w:rFonts w:asciiTheme="majorBidi" w:hAnsiTheme="majorBidi" w:cstheme="majorBidi"/>
          <w:sz w:val="24"/>
          <w:szCs w:val="24"/>
        </w:rPr>
      </w:pPr>
      <w:r w:rsidRPr="001020DB">
        <w:rPr>
          <w:rFonts w:asciiTheme="majorBidi" w:hAnsiTheme="majorBidi" w:cstheme="majorBidi"/>
          <w:sz w:val="24"/>
          <w:szCs w:val="24"/>
        </w:rPr>
        <w:t xml:space="preserve">La géophysique utilise toutes les méthodes de la physique pour obtenir des informations sur les zones difficiles d'accès du globe. Par exemple, seule la géophysique permet d'avoir des connaissances concernant le noyau terrestre, le fond des océans ou les confins de l'atmosphère, là où des mesures physiques directes sont pour ainsi dire impossibles. </w:t>
      </w:r>
    </w:p>
    <w:p w:rsidR="00A942AA" w:rsidRPr="001020DB" w:rsidRDefault="00A942AA" w:rsidP="001159A7">
      <w:pPr>
        <w:spacing w:after="0"/>
        <w:jc w:val="both"/>
        <w:rPr>
          <w:rFonts w:asciiTheme="majorBidi" w:hAnsiTheme="majorBidi" w:cstheme="majorBidi"/>
          <w:sz w:val="24"/>
          <w:szCs w:val="24"/>
        </w:rPr>
      </w:pPr>
      <w:r w:rsidRPr="001020DB">
        <w:rPr>
          <w:rFonts w:asciiTheme="majorBidi" w:hAnsiTheme="majorBidi" w:cstheme="majorBidi"/>
          <w:sz w:val="24"/>
          <w:szCs w:val="24"/>
        </w:rPr>
        <w:t xml:space="preserve">Elles sont toutes des outils essentiels utilisés dans des domaines tels que : </w:t>
      </w:r>
    </w:p>
    <w:p w:rsidR="006028E0" w:rsidRPr="001020DB" w:rsidRDefault="00DC776C" w:rsidP="001159A7">
      <w:pPr>
        <w:numPr>
          <w:ilvl w:val="0"/>
          <w:numId w:val="1"/>
        </w:numPr>
        <w:spacing w:after="0"/>
        <w:jc w:val="both"/>
        <w:rPr>
          <w:rFonts w:asciiTheme="majorBidi" w:hAnsiTheme="majorBidi" w:cstheme="majorBidi"/>
          <w:sz w:val="24"/>
          <w:szCs w:val="24"/>
        </w:rPr>
      </w:pPr>
      <w:r w:rsidRPr="001020DB">
        <w:rPr>
          <w:rFonts w:asciiTheme="majorBidi" w:hAnsiTheme="majorBidi" w:cstheme="majorBidi"/>
          <w:sz w:val="24"/>
          <w:szCs w:val="24"/>
        </w:rPr>
        <w:t xml:space="preserve">La recherche scientifique </w:t>
      </w:r>
    </w:p>
    <w:p w:rsidR="006028E0" w:rsidRPr="001020DB" w:rsidRDefault="00DC776C" w:rsidP="001159A7">
      <w:pPr>
        <w:numPr>
          <w:ilvl w:val="0"/>
          <w:numId w:val="1"/>
        </w:numPr>
        <w:spacing w:after="0"/>
        <w:jc w:val="both"/>
        <w:rPr>
          <w:rFonts w:asciiTheme="majorBidi" w:hAnsiTheme="majorBidi" w:cstheme="majorBidi"/>
          <w:sz w:val="24"/>
          <w:szCs w:val="24"/>
        </w:rPr>
      </w:pPr>
      <w:r w:rsidRPr="001020DB">
        <w:rPr>
          <w:rFonts w:asciiTheme="majorBidi" w:hAnsiTheme="majorBidi" w:cstheme="majorBidi"/>
          <w:sz w:val="24"/>
          <w:szCs w:val="24"/>
        </w:rPr>
        <w:t xml:space="preserve">La prospection pétrolière et le domaine parapétrolier </w:t>
      </w:r>
    </w:p>
    <w:p w:rsidR="006028E0" w:rsidRPr="001020DB" w:rsidRDefault="00DC776C" w:rsidP="001159A7">
      <w:pPr>
        <w:numPr>
          <w:ilvl w:val="0"/>
          <w:numId w:val="1"/>
        </w:numPr>
        <w:spacing w:after="0"/>
        <w:jc w:val="both"/>
        <w:rPr>
          <w:rFonts w:asciiTheme="majorBidi" w:hAnsiTheme="majorBidi" w:cstheme="majorBidi"/>
          <w:sz w:val="24"/>
          <w:szCs w:val="24"/>
        </w:rPr>
      </w:pPr>
      <w:r w:rsidRPr="001020DB">
        <w:rPr>
          <w:rFonts w:asciiTheme="majorBidi" w:hAnsiTheme="majorBidi" w:cstheme="majorBidi"/>
          <w:sz w:val="24"/>
          <w:szCs w:val="24"/>
        </w:rPr>
        <w:t xml:space="preserve">Le génie civil </w:t>
      </w:r>
    </w:p>
    <w:p w:rsidR="006028E0" w:rsidRPr="001020DB" w:rsidRDefault="00DC776C" w:rsidP="001159A7">
      <w:pPr>
        <w:numPr>
          <w:ilvl w:val="0"/>
          <w:numId w:val="1"/>
        </w:numPr>
        <w:spacing w:after="0"/>
        <w:jc w:val="both"/>
        <w:rPr>
          <w:rFonts w:asciiTheme="majorBidi" w:hAnsiTheme="majorBidi" w:cstheme="majorBidi"/>
          <w:sz w:val="24"/>
          <w:szCs w:val="24"/>
        </w:rPr>
      </w:pPr>
      <w:r w:rsidRPr="001020DB">
        <w:rPr>
          <w:rFonts w:asciiTheme="majorBidi" w:hAnsiTheme="majorBidi" w:cstheme="majorBidi"/>
          <w:sz w:val="24"/>
          <w:szCs w:val="24"/>
        </w:rPr>
        <w:t xml:space="preserve">La prospection minière </w:t>
      </w:r>
    </w:p>
    <w:p w:rsidR="006028E0" w:rsidRPr="001020DB" w:rsidRDefault="00DC776C" w:rsidP="001159A7">
      <w:pPr>
        <w:numPr>
          <w:ilvl w:val="0"/>
          <w:numId w:val="1"/>
        </w:numPr>
        <w:spacing w:after="0"/>
        <w:jc w:val="both"/>
        <w:rPr>
          <w:rFonts w:asciiTheme="majorBidi" w:hAnsiTheme="majorBidi" w:cstheme="majorBidi"/>
          <w:sz w:val="24"/>
          <w:szCs w:val="24"/>
        </w:rPr>
      </w:pPr>
      <w:r w:rsidRPr="001020DB">
        <w:rPr>
          <w:rFonts w:asciiTheme="majorBidi" w:hAnsiTheme="majorBidi" w:cstheme="majorBidi"/>
          <w:sz w:val="24"/>
          <w:szCs w:val="24"/>
        </w:rPr>
        <w:t xml:space="preserve">L'hydrogéologie </w:t>
      </w:r>
    </w:p>
    <w:p w:rsidR="006028E0" w:rsidRPr="001020DB" w:rsidRDefault="00DC776C" w:rsidP="001159A7">
      <w:pPr>
        <w:numPr>
          <w:ilvl w:val="0"/>
          <w:numId w:val="1"/>
        </w:numPr>
        <w:spacing w:after="0"/>
        <w:jc w:val="both"/>
        <w:rPr>
          <w:rFonts w:asciiTheme="majorBidi" w:hAnsiTheme="majorBidi" w:cstheme="majorBidi"/>
          <w:sz w:val="24"/>
          <w:szCs w:val="24"/>
        </w:rPr>
      </w:pPr>
      <w:r w:rsidRPr="001020DB">
        <w:rPr>
          <w:rFonts w:asciiTheme="majorBidi" w:hAnsiTheme="majorBidi" w:cstheme="majorBidi"/>
          <w:sz w:val="24"/>
          <w:szCs w:val="24"/>
        </w:rPr>
        <w:t xml:space="preserve">La pédologie </w:t>
      </w:r>
    </w:p>
    <w:p w:rsidR="006028E0" w:rsidRPr="001020DB" w:rsidRDefault="00DC776C" w:rsidP="001159A7">
      <w:pPr>
        <w:numPr>
          <w:ilvl w:val="0"/>
          <w:numId w:val="1"/>
        </w:numPr>
        <w:spacing w:after="0"/>
        <w:jc w:val="both"/>
        <w:rPr>
          <w:rFonts w:asciiTheme="majorBidi" w:hAnsiTheme="majorBidi" w:cstheme="majorBidi"/>
          <w:sz w:val="24"/>
          <w:szCs w:val="24"/>
        </w:rPr>
      </w:pPr>
      <w:r w:rsidRPr="001020DB">
        <w:rPr>
          <w:rFonts w:asciiTheme="majorBidi" w:hAnsiTheme="majorBidi" w:cstheme="majorBidi"/>
          <w:sz w:val="24"/>
          <w:szCs w:val="24"/>
        </w:rPr>
        <w:t xml:space="preserve">La géothermie </w:t>
      </w:r>
    </w:p>
    <w:p w:rsidR="006028E0" w:rsidRPr="001020DB" w:rsidRDefault="00DC776C" w:rsidP="001159A7">
      <w:pPr>
        <w:numPr>
          <w:ilvl w:val="0"/>
          <w:numId w:val="1"/>
        </w:numPr>
        <w:spacing w:after="0"/>
        <w:jc w:val="both"/>
        <w:rPr>
          <w:rFonts w:asciiTheme="majorBidi" w:hAnsiTheme="majorBidi" w:cstheme="majorBidi"/>
          <w:sz w:val="24"/>
          <w:szCs w:val="24"/>
        </w:rPr>
      </w:pPr>
      <w:r w:rsidRPr="001020DB">
        <w:rPr>
          <w:rFonts w:asciiTheme="majorBidi" w:hAnsiTheme="majorBidi" w:cstheme="majorBidi"/>
          <w:sz w:val="24"/>
          <w:szCs w:val="24"/>
        </w:rPr>
        <w:t xml:space="preserve">L'hydrogéologie </w:t>
      </w:r>
    </w:p>
    <w:p w:rsidR="006028E0" w:rsidRPr="001020DB" w:rsidRDefault="00DC776C" w:rsidP="00A942AA">
      <w:pPr>
        <w:numPr>
          <w:ilvl w:val="0"/>
          <w:numId w:val="1"/>
        </w:numPr>
        <w:jc w:val="both"/>
        <w:rPr>
          <w:rFonts w:asciiTheme="majorBidi" w:hAnsiTheme="majorBidi" w:cstheme="majorBidi"/>
          <w:sz w:val="24"/>
          <w:szCs w:val="24"/>
        </w:rPr>
      </w:pPr>
      <w:r w:rsidRPr="001020DB">
        <w:rPr>
          <w:rFonts w:asciiTheme="majorBidi" w:hAnsiTheme="majorBidi" w:cstheme="majorBidi"/>
          <w:sz w:val="24"/>
          <w:szCs w:val="24"/>
        </w:rPr>
        <w:t xml:space="preserve">L'archéologie </w:t>
      </w:r>
    </w:p>
    <w:p w:rsidR="00A942AA" w:rsidRPr="001020DB" w:rsidRDefault="00A942AA" w:rsidP="001159A7">
      <w:pPr>
        <w:jc w:val="both"/>
        <w:rPr>
          <w:rFonts w:asciiTheme="majorBidi" w:hAnsiTheme="majorBidi" w:cstheme="majorBidi"/>
          <w:sz w:val="24"/>
          <w:szCs w:val="24"/>
        </w:rPr>
      </w:pPr>
      <w:r w:rsidRPr="001020DB">
        <w:rPr>
          <w:rFonts w:asciiTheme="majorBidi" w:hAnsiTheme="majorBidi" w:cstheme="majorBidi"/>
          <w:sz w:val="24"/>
          <w:szCs w:val="24"/>
        </w:rPr>
        <w:t xml:space="preserve">Les principales méthodes utilisées en géophysique appliquée sont classées dans deux catégories :  </w:t>
      </w:r>
    </w:p>
    <w:p w:rsidR="006028E0" w:rsidRPr="001020DB" w:rsidRDefault="00AB766A" w:rsidP="001159A7">
      <w:pPr>
        <w:numPr>
          <w:ilvl w:val="0"/>
          <w:numId w:val="2"/>
        </w:numPr>
        <w:spacing w:after="0"/>
        <w:ind w:hanging="357"/>
        <w:jc w:val="both"/>
        <w:rPr>
          <w:rFonts w:asciiTheme="majorBidi" w:hAnsiTheme="majorBidi" w:cstheme="majorBidi"/>
          <w:sz w:val="24"/>
          <w:szCs w:val="24"/>
        </w:rPr>
      </w:pPr>
      <w:hyperlink r:id="rId7" w:history="1">
        <w:r w:rsidR="00DC776C" w:rsidRPr="001020DB">
          <w:rPr>
            <w:rStyle w:val="Lienhypertexte"/>
            <w:rFonts w:asciiTheme="majorBidi" w:hAnsiTheme="majorBidi" w:cstheme="majorBidi"/>
            <w:color w:val="auto"/>
            <w:sz w:val="24"/>
            <w:szCs w:val="24"/>
          </w:rPr>
          <w:t>Les méthodes passives</w:t>
        </w:r>
      </w:hyperlink>
      <w:r w:rsidR="00DC776C" w:rsidRPr="001020DB">
        <w:rPr>
          <w:rFonts w:asciiTheme="majorBidi" w:hAnsiTheme="majorBidi" w:cstheme="majorBidi"/>
          <w:sz w:val="24"/>
          <w:szCs w:val="24"/>
        </w:rPr>
        <w:t>, appelées aussi naturelles, (elles mesurent un phénomène naturel :</w:t>
      </w:r>
      <w:r w:rsidR="00A942AA" w:rsidRPr="001020DB">
        <w:rPr>
          <w:rFonts w:asciiTheme="majorBidi" w:hAnsiTheme="majorBidi" w:cstheme="majorBidi"/>
          <w:sz w:val="24"/>
          <w:szCs w:val="24"/>
        </w:rPr>
        <w:t xml:space="preserve"> </w:t>
      </w:r>
      <w:r w:rsidR="00DC776C" w:rsidRPr="001020DB">
        <w:rPr>
          <w:rFonts w:asciiTheme="majorBidi" w:hAnsiTheme="majorBidi" w:cstheme="majorBidi"/>
          <w:sz w:val="24"/>
          <w:szCs w:val="24"/>
        </w:rPr>
        <w:t>champ de pesanteur, champ magnétique,…):</w:t>
      </w:r>
    </w:p>
    <w:p w:rsidR="006028E0" w:rsidRPr="001020DB" w:rsidRDefault="00DC776C" w:rsidP="001159A7">
      <w:pPr>
        <w:numPr>
          <w:ilvl w:val="3"/>
          <w:numId w:val="2"/>
        </w:numPr>
        <w:spacing w:after="0"/>
        <w:ind w:hanging="357"/>
        <w:jc w:val="both"/>
        <w:rPr>
          <w:rFonts w:asciiTheme="majorBidi" w:hAnsiTheme="majorBidi" w:cstheme="majorBidi"/>
          <w:sz w:val="24"/>
          <w:szCs w:val="24"/>
        </w:rPr>
      </w:pPr>
      <w:r w:rsidRPr="001020DB">
        <w:rPr>
          <w:rFonts w:asciiTheme="majorBidi" w:hAnsiTheme="majorBidi" w:cstheme="majorBidi"/>
          <w:sz w:val="24"/>
          <w:szCs w:val="24"/>
        </w:rPr>
        <w:t xml:space="preserve">la gravimétrie, </w:t>
      </w:r>
    </w:p>
    <w:p w:rsidR="006028E0" w:rsidRPr="001020DB" w:rsidRDefault="00DC776C" w:rsidP="001159A7">
      <w:pPr>
        <w:numPr>
          <w:ilvl w:val="3"/>
          <w:numId w:val="2"/>
        </w:numPr>
        <w:spacing w:after="0"/>
        <w:ind w:hanging="357"/>
        <w:jc w:val="both"/>
        <w:rPr>
          <w:rFonts w:asciiTheme="majorBidi" w:hAnsiTheme="majorBidi" w:cstheme="majorBidi"/>
          <w:sz w:val="24"/>
          <w:szCs w:val="24"/>
        </w:rPr>
      </w:pPr>
      <w:r w:rsidRPr="001020DB">
        <w:rPr>
          <w:rFonts w:asciiTheme="majorBidi" w:hAnsiTheme="majorBidi" w:cstheme="majorBidi"/>
          <w:sz w:val="24"/>
          <w:szCs w:val="24"/>
        </w:rPr>
        <w:t xml:space="preserve">la magnétométrie, </w:t>
      </w:r>
    </w:p>
    <w:p w:rsidR="006028E0" w:rsidRPr="001020DB" w:rsidRDefault="00DC776C" w:rsidP="001159A7">
      <w:pPr>
        <w:numPr>
          <w:ilvl w:val="3"/>
          <w:numId w:val="2"/>
        </w:numPr>
        <w:spacing w:after="0"/>
        <w:ind w:hanging="357"/>
        <w:jc w:val="both"/>
        <w:rPr>
          <w:rFonts w:asciiTheme="majorBidi" w:hAnsiTheme="majorBidi" w:cstheme="majorBidi"/>
          <w:sz w:val="24"/>
          <w:szCs w:val="24"/>
        </w:rPr>
      </w:pPr>
      <w:r w:rsidRPr="001020DB">
        <w:rPr>
          <w:rFonts w:asciiTheme="majorBidi" w:hAnsiTheme="majorBidi" w:cstheme="majorBidi"/>
          <w:sz w:val="24"/>
          <w:szCs w:val="24"/>
        </w:rPr>
        <w:t xml:space="preserve">la méthode tellurique, </w:t>
      </w:r>
    </w:p>
    <w:p w:rsidR="006028E0" w:rsidRPr="001020DB" w:rsidRDefault="00DC776C" w:rsidP="001159A7">
      <w:pPr>
        <w:numPr>
          <w:ilvl w:val="3"/>
          <w:numId w:val="2"/>
        </w:numPr>
        <w:spacing w:after="0"/>
        <w:ind w:hanging="357"/>
        <w:jc w:val="both"/>
        <w:rPr>
          <w:rFonts w:asciiTheme="majorBidi" w:hAnsiTheme="majorBidi" w:cstheme="majorBidi"/>
          <w:sz w:val="24"/>
          <w:szCs w:val="24"/>
        </w:rPr>
      </w:pPr>
      <w:r w:rsidRPr="001020DB">
        <w:rPr>
          <w:rFonts w:asciiTheme="majorBidi" w:hAnsiTheme="majorBidi" w:cstheme="majorBidi"/>
          <w:sz w:val="24"/>
          <w:szCs w:val="24"/>
        </w:rPr>
        <w:t xml:space="preserve">la scintillométrie, </w:t>
      </w:r>
    </w:p>
    <w:p w:rsidR="006028E0" w:rsidRPr="001020DB" w:rsidRDefault="00DC776C" w:rsidP="001159A7">
      <w:pPr>
        <w:numPr>
          <w:ilvl w:val="3"/>
          <w:numId w:val="2"/>
        </w:numPr>
        <w:spacing w:after="0"/>
        <w:ind w:hanging="357"/>
        <w:jc w:val="both"/>
        <w:rPr>
          <w:rFonts w:asciiTheme="majorBidi" w:hAnsiTheme="majorBidi" w:cstheme="majorBidi"/>
          <w:sz w:val="24"/>
          <w:szCs w:val="24"/>
        </w:rPr>
      </w:pPr>
      <w:r w:rsidRPr="001020DB">
        <w:rPr>
          <w:rFonts w:asciiTheme="majorBidi" w:hAnsiTheme="majorBidi" w:cstheme="majorBidi"/>
          <w:sz w:val="24"/>
          <w:szCs w:val="24"/>
        </w:rPr>
        <w:t>des méthodes électromagnétiques…</w:t>
      </w:r>
    </w:p>
    <w:p w:rsidR="006028E0" w:rsidRPr="001020DB" w:rsidRDefault="00AB766A" w:rsidP="001159A7">
      <w:pPr>
        <w:numPr>
          <w:ilvl w:val="0"/>
          <w:numId w:val="2"/>
        </w:numPr>
        <w:spacing w:after="0"/>
        <w:ind w:hanging="357"/>
        <w:jc w:val="both"/>
        <w:rPr>
          <w:rFonts w:asciiTheme="majorBidi" w:hAnsiTheme="majorBidi" w:cstheme="majorBidi"/>
          <w:sz w:val="24"/>
          <w:szCs w:val="24"/>
        </w:rPr>
      </w:pPr>
      <w:hyperlink r:id="rId8" w:history="1">
        <w:r w:rsidR="00DC776C" w:rsidRPr="001020DB">
          <w:rPr>
            <w:rStyle w:val="Lienhypertexte"/>
            <w:rFonts w:asciiTheme="majorBidi" w:hAnsiTheme="majorBidi" w:cstheme="majorBidi"/>
            <w:color w:val="auto"/>
            <w:sz w:val="24"/>
            <w:szCs w:val="24"/>
          </w:rPr>
          <w:t>Les méthodes actives</w:t>
        </w:r>
      </w:hyperlink>
      <w:r w:rsidR="00DC776C" w:rsidRPr="001020DB">
        <w:rPr>
          <w:rFonts w:asciiTheme="majorBidi" w:hAnsiTheme="majorBidi" w:cstheme="majorBidi"/>
          <w:sz w:val="24"/>
          <w:szCs w:val="24"/>
        </w:rPr>
        <w:t>, appelées aussi provoquées, (elles créent un phénomène pour en mesurer les effets et répercussions):</w:t>
      </w:r>
    </w:p>
    <w:p w:rsidR="006028E0" w:rsidRPr="001020DB" w:rsidRDefault="00DC776C" w:rsidP="001159A7">
      <w:pPr>
        <w:numPr>
          <w:ilvl w:val="3"/>
          <w:numId w:val="2"/>
        </w:numPr>
        <w:spacing w:after="0"/>
        <w:ind w:hanging="357"/>
        <w:jc w:val="both"/>
        <w:rPr>
          <w:rFonts w:asciiTheme="majorBidi" w:hAnsiTheme="majorBidi" w:cstheme="majorBidi"/>
          <w:sz w:val="24"/>
          <w:szCs w:val="24"/>
        </w:rPr>
      </w:pPr>
      <w:r w:rsidRPr="001020DB">
        <w:rPr>
          <w:rFonts w:asciiTheme="majorBidi" w:hAnsiTheme="majorBidi" w:cstheme="majorBidi"/>
          <w:sz w:val="24"/>
          <w:szCs w:val="24"/>
        </w:rPr>
        <w:t xml:space="preserve">les méthodes acoustiques et sismiques, </w:t>
      </w:r>
    </w:p>
    <w:p w:rsidR="006028E0" w:rsidRPr="001020DB" w:rsidRDefault="00DC776C" w:rsidP="001159A7">
      <w:pPr>
        <w:numPr>
          <w:ilvl w:val="3"/>
          <w:numId w:val="2"/>
        </w:numPr>
        <w:spacing w:after="0"/>
        <w:ind w:hanging="357"/>
        <w:jc w:val="both"/>
        <w:rPr>
          <w:rFonts w:asciiTheme="majorBidi" w:hAnsiTheme="majorBidi" w:cstheme="majorBidi"/>
          <w:sz w:val="24"/>
          <w:szCs w:val="24"/>
        </w:rPr>
      </w:pPr>
      <w:r w:rsidRPr="001020DB">
        <w:rPr>
          <w:rFonts w:asciiTheme="majorBidi" w:hAnsiTheme="majorBidi" w:cstheme="majorBidi"/>
          <w:sz w:val="24"/>
          <w:szCs w:val="24"/>
        </w:rPr>
        <w:t xml:space="preserve">les méthodes électriques </w:t>
      </w:r>
    </w:p>
    <w:p w:rsidR="006028E0" w:rsidRPr="001020DB" w:rsidRDefault="00DC776C" w:rsidP="001159A7">
      <w:pPr>
        <w:numPr>
          <w:ilvl w:val="3"/>
          <w:numId w:val="2"/>
        </w:numPr>
        <w:spacing w:after="0"/>
        <w:ind w:hanging="357"/>
        <w:jc w:val="both"/>
        <w:rPr>
          <w:rFonts w:asciiTheme="majorBidi" w:hAnsiTheme="majorBidi" w:cstheme="majorBidi"/>
          <w:sz w:val="24"/>
          <w:szCs w:val="24"/>
        </w:rPr>
      </w:pPr>
      <w:r w:rsidRPr="001020DB">
        <w:rPr>
          <w:rFonts w:asciiTheme="majorBidi" w:hAnsiTheme="majorBidi" w:cstheme="majorBidi"/>
          <w:sz w:val="24"/>
          <w:szCs w:val="24"/>
        </w:rPr>
        <w:t xml:space="preserve">des méthodes électromagnétiques. </w:t>
      </w:r>
    </w:p>
    <w:p w:rsidR="00F17048" w:rsidRPr="001020DB" w:rsidRDefault="00F17048" w:rsidP="00A942AA">
      <w:pPr>
        <w:jc w:val="both"/>
        <w:rPr>
          <w:rFonts w:asciiTheme="majorBidi" w:hAnsiTheme="majorBidi" w:cstheme="majorBidi"/>
          <w:sz w:val="24"/>
          <w:szCs w:val="24"/>
        </w:rPr>
      </w:pPr>
    </w:p>
    <w:p w:rsidR="00A942AA" w:rsidRPr="001020DB" w:rsidRDefault="00A942AA" w:rsidP="00285222">
      <w:pPr>
        <w:pStyle w:val="Default"/>
        <w:jc w:val="both"/>
        <w:rPr>
          <w:rFonts w:asciiTheme="majorBidi" w:hAnsiTheme="majorBidi" w:cstheme="majorBidi"/>
          <w:b/>
          <w:bCs/>
          <w:color w:val="auto"/>
          <w:sz w:val="28"/>
          <w:szCs w:val="28"/>
        </w:rPr>
      </w:pPr>
      <w:r w:rsidRPr="001020DB">
        <w:rPr>
          <w:rFonts w:asciiTheme="majorBidi" w:hAnsiTheme="majorBidi" w:cstheme="majorBidi"/>
          <w:b/>
          <w:bCs/>
          <w:color w:val="auto"/>
          <w:sz w:val="28"/>
          <w:szCs w:val="28"/>
        </w:rPr>
        <w:lastRenderedPageBreak/>
        <w:t xml:space="preserve">Les propriétés physiques des matériaux </w:t>
      </w:r>
    </w:p>
    <w:p w:rsidR="00285222" w:rsidRPr="001020DB" w:rsidRDefault="00285222" w:rsidP="00285222">
      <w:pPr>
        <w:pStyle w:val="Default"/>
        <w:jc w:val="both"/>
        <w:rPr>
          <w:rFonts w:asciiTheme="majorBidi" w:hAnsiTheme="majorBidi" w:cstheme="majorBidi"/>
          <w:color w:val="auto"/>
        </w:rPr>
      </w:pPr>
    </w:p>
    <w:p w:rsidR="00A942AA" w:rsidRPr="001020DB" w:rsidRDefault="00A942AA" w:rsidP="00285222">
      <w:pPr>
        <w:pStyle w:val="Default"/>
        <w:jc w:val="both"/>
        <w:rPr>
          <w:rFonts w:asciiTheme="majorBidi" w:hAnsiTheme="majorBidi" w:cstheme="majorBidi"/>
          <w:color w:val="auto"/>
        </w:rPr>
      </w:pPr>
      <w:r w:rsidRPr="001020DB">
        <w:rPr>
          <w:rFonts w:asciiTheme="majorBidi" w:hAnsiTheme="majorBidi" w:cstheme="majorBidi"/>
          <w:color w:val="auto"/>
        </w:rPr>
        <w:t xml:space="preserve">Pour un géophysicien, une roche est constituée de: </w:t>
      </w:r>
    </w:p>
    <w:p w:rsidR="00285222" w:rsidRPr="001020DB" w:rsidRDefault="00285222" w:rsidP="00285222">
      <w:pPr>
        <w:pStyle w:val="Default"/>
        <w:jc w:val="both"/>
        <w:rPr>
          <w:rFonts w:asciiTheme="majorBidi" w:hAnsiTheme="majorBidi" w:cstheme="majorBidi"/>
          <w:color w:val="auto"/>
        </w:rPr>
      </w:pPr>
    </w:p>
    <w:p w:rsidR="00A942AA" w:rsidRPr="001020DB" w:rsidRDefault="00A942AA" w:rsidP="00285222">
      <w:pPr>
        <w:pStyle w:val="Default"/>
        <w:jc w:val="both"/>
        <w:rPr>
          <w:rFonts w:asciiTheme="majorBidi" w:hAnsiTheme="majorBidi" w:cstheme="majorBidi"/>
          <w:color w:val="auto"/>
        </w:rPr>
      </w:pPr>
      <w:r w:rsidRPr="001020DB">
        <w:rPr>
          <w:rFonts w:asciiTheme="majorBidi" w:hAnsiTheme="majorBidi" w:cstheme="majorBidi"/>
          <w:b/>
          <w:bCs/>
          <w:color w:val="auto"/>
        </w:rPr>
        <w:t>LA MATRICE :</w:t>
      </w:r>
      <w:r w:rsidRPr="001020DB">
        <w:rPr>
          <w:rFonts w:asciiTheme="majorBidi" w:hAnsiTheme="majorBidi" w:cstheme="majorBidi"/>
          <w:color w:val="auto"/>
        </w:rPr>
        <w:t xml:space="preserve"> partie solide constituée par les minéraux possédant chacun leurs propriétés physiques propres: densité, vitesse, résistivité, susceptibilité, etc. </w:t>
      </w:r>
    </w:p>
    <w:p w:rsidR="00A942AA" w:rsidRPr="001020DB" w:rsidRDefault="00A942AA" w:rsidP="00285222">
      <w:pPr>
        <w:jc w:val="both"/>
        <w:rPr>
          <w:rFonts w:asciiTheme="majorBidi" w:hAnsiTheme="majorBidi" w:cstheme="majorBidi"/>
          <w:sz w:val="24"/>
          <w:szCs w:val="24"/>
        </w:rPr>
      </w:pPr>
      <w:r w:rsidRPr="001020DB">
        <w:rPr>
          <w:rFonts w:asciiTheme="majorBidi" w:hAnsiTheme="majorBidi" w:cstheme="majorBidi"/>
          <w:b/>
          <w:bCs/>
          <w:sz w:val="24"/>
          <w:szCs w:val="24"/>
        </w:rPr>
        <w:t>LA POROSITE</w:t>
      </w:r>
      <w:r w:rsidRPr="001020DB">
        <w:rPr>
          <w:rFonts w:asciiTheme="majorBidi" w:hAnsiTheme="majorBidi" w:cstheme="majorBidi"/>
          <w:sz w:val="24"/>
          <w:szCs w:val="24"/>
        </w:rPr>
        <w:t xml:space="preserve"> : soit le volume des vides par rapport au volume de la matrice.</w:t>
      </w:r>
    </w:p>
    <w:p w:rsidR="00A942AA" w:rsidRPr="001020DB" w:rsidRDefault="00A942AA" w:rsidP="00A942AA">
      <w:pPr>
        <w:jc w:val="center"/>
        <w:rPr>
          <w:rFonts w:asciiTheme="majorBidi" w:hAnsiTheme="majorBidi" w:cstheme="majorBidi"/>
          <w:sz w:val="24"/>
          <w:szCs w:val="24"/>
        </w:rPr>
      </w:pPr>
      <w:r w:rsidRPr="001020DB">
        <w:rPr>
          <w:rFonts w:asciiTheme="majorBidi" w:hAnsiTheme="majorBidi" w:cstheme="majorBidi"/>
          <w:noProof/>
          <w:sz w:val="24"/>
          <w:szCs w:val="24"/>
          <w:lang w:eastAsia="fr-FR"/>
        </w:rPr>
        <w:drawing>
          <wp:inline distT="0" distB="0" distL="0" distR="0">
            <wp:extent cx="2018550" cy="2109801"/>
            <wp:effectExtent l="19050" t="0" r="7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018471" cy="2109719"/>
                    </a:xfrm>
                    <a:prstGeom prst="rect">
                      <a:avLst/>
                    </a:prstGeom>
                    <a:noFill/>
                    <a:ln w="9525">
                      <a:noFill/>
                      <a:miter lim="800000"/>
                      <a:headEnd/>
                      <a:tailEnd/>
                    </a:ln>
                  </pic:spPr>
                </pic:pic>
              </a:graphicData>
            </a:graphic>
          </wp:inline>
        </w:drawing>
      </w:r>
    </w:p>
    <w:p w:rsidR="00A942AA" w:rsidRPr="001020DB" w:rsidRDefault="00A942AA" w:rsidP="00285222">
      <w:pPr>
        <w:jc w:val="both"/>
        <w:rPr>
          <w:rFonts w:asciiTheme="majorBidi" w:hAnsiTheme="majorBidi" w:cstheme="majorBidi"/>
          <w:sz w:val="24"/>
          <w:szCs w:val="24"/>
        </w:rPr>
      </w:pPr>
      <w:r w:rsidRPr="001020DB">
        <w:rPr>
          <w:rFonts w:asciiTheme="majorBidi" w:hAnsiTheme="majorBidi" w:cstheme="majorBidi"/>
          <w:sz w:val="24"/>
          <w:szCs w:val="24"/>
        </w:rPr>
        <w:t xml:space="preserve">LES FLUIDES : soit ce qui remplit plus ou moins les vides: eaux plus ou moins salées, hydrocarbures, gaz, air, polluants, chacun de ces fluides ayant des paramètres physiques qui lui sont propres. En définitive les paramètres physiques de la roche dépendront des pourcentages des divers constituants. </w:t>
      </w:r>
    </w:p>
    <w:p w:rsidR="006F7A3A" w:rsidRPr="001020DB" w:rsidRDefault="00A942AA" w:rsidP="00285222">
      <w:pPr>
        <w:jc w:val="both"/>
        <w:rPr>
          <w:rFonts w:asciiTheme="majorBidi" w:hAnsiTheme="majorBidi" w:cstheme="majorBidi"/>
          <w:sz w:val="24"/>
          <w:szCs w:val="24"/>
        </w:rPr>
      </w:pPr>
      <w:r w:rsidRPr="001020DB">
        <w:rPr>
          <w:rFonts w:asciiTheme="majorBidi" w:hAnsiTheme="majorBidi" w:cstheme="majorBidi"/>
          <w:sz w:val="24"/>
          <w:szCs w:val="24"/>
        </w:rPr>
        <w:t xml:space="preserve">Ainsi pour le paramètre densité par exemple nous pouvons écrire: </w:t>
      </w:r>
    </w:p>
    <w:p w:rsidR="006F7A3A" w:rsidRPr="001020DB" w:rsidRDefault="006F7A3A" w:rsidP="00285222">
      <w:pPr>
        <w:jc w:val="center"/>
        <w:rPr>
          <w:rFonts w:asciiTheme="majorBidi" w:hAnsiTheme="majorBidi" w:cstheme="majorBidi"/>
          <w:b/>
          <w:bCs/>
          <w:i/>
          <w:iCs/>
          <w:sz w:val="24"/>
          <w:szCs w:val="24"/>
        </w:rPr>
      </w:pPr>
      <w:r w:rsidRPr="001020DB">
        <w:rPr>
          <w:rFonts w:asciiTheme="majorBidi" w:hAnsiTheme="majorBidi" w:cstheme="majorBidi"/>
          <w:b/>
          <w:bCs/>
          <w:i/>
          <w:iCs/>
          <w:sz w:val="24"/>
          <w:szCs w:val="24"/>
        </w:rPr>
        <w:t>d</w:t>
      </w:r>
      <w:r w:rsidRPr="001020DB">
        <w:rPr>
          <w:rFonts w:asciiTheme="majorBidi" w:hAnsiTheme="majorBidi" w:cstheme="majorBidi"/>
          <w:b/>
          <w:bCs/>
          <w:i/>
          <w:iCs/>
          <w:sz w:val="24"/>
          <w:szCs w:val="24"/>
          <w:vertAlign w:val="subscript"/>
        </w:rPr>
        <w:t xml:space="preserve">b </w:t>
      </w:r>
      <w:r w:rsidRPr="001020DB">
        <w:rPr>
          <w:rFonts w:asciiTheme="majorBidi" w:hAnsiTheme="majorBidi" w:cstheme="majorBidi"/>
          <w:b/>
          <w:bCs/>
          <w:i/>
          <w:iCs/>
          <w:sz w:val="24"/>
          <w:szCs w:val="24"/>
        </w:rPr>
        <w:t>= (1- φ)d</w:t>
      </w:r>
      <w:r w:rsidRPr="001020DB">
        <w:rPr>
          <w:rFonts w:asciiTheme="majorBidi" w:hAnsiTheme="majorBidi" w:cstheme="majorBidi"/>
          <w:b/>
          <w:bCs/>
          <w:i/>
          <w:iCs/>
          <w:sz w:val="24"/>
          <w:szCs w:val="24"/>
          <w:vertAlign w:val="subscript"/>
        </w:rPr>
        <w:t>ma</w:t>
      </w:r>
      <w:r w:rsidRPr="001020DB">
        <w:rPr>
          <w:rFonts w:asciiTheme="majorBidi" w:hAnsiTheme="majorBidi" w:cstheme="majorBidi"/>
          <w:b/>
          <w:bCs/>
          <w:i/>
          <w:iCs/>
          <w:sz w:val="24"/>
          <w:szCs w:val="24"/>
        </w:rPr>
        <w:t xml:space="preserve"> + d</w:t>
      </w:r>
      <w:r w:rsidRPr="001020DB">
        <w:rPr>
          <w:rFonts w:asciiTheme="majorBidi" w:hAnsiTheme="majorBidi" w:cstheme="majorBidi"/>
          <w:b/>
          <w:bCs/>
          <w:i/>
          <w:iCs/>
          <w:sz w:val="24"/>
          <w:szCs w:val="24"/>
          <w:vertAlign w:val="subscript"/>
        </w:rPr>
        <w:t>f</w:t>
      </w:r>
      <w:r w:rsidRPr="001020DB">
        <w:rPr>
          <w:rFonts w:asciiTheme="majorBidi" w:hAnsiTheme="majorBidi" w:cstheme="majorBidi"/>
          <w:b/>
          <w:bCs/>
          <w:i/>
          <w:iCs/>
          <w:sz w:val="24"/>
          <w:szCs w:val="24"/>
        </w:rPr>
        <w:t>φ</w:t>
      </w:r>
    </w:p>
    <w:p w:rsidR="006F7A3A" w:rsidRPr="001020DB" w:rsidRDefault="00A942AA" w:rsidP="00285222">
      <w:pPr>
        <w:jc w:val="both"/>
        <w:rPr>
          <w:rFonts w:asciiTheme="majorBidi" w:hAnsiTheme="majorBidi" w:cstheme="majorBidi"/>
          <w:sz w:val="24"/>
          <w:szCs w:val="24"/>
        </w:rPr>
      </w:pPr>
      <w:r w:rsidRPr="001020DB">
        <w:rPr>
          <w:rFonts w:asciiTheme="majorBidi" w:hAnsiTheme="majorBidi" w:cstheme="majorBidi"/>
          <w:sz w:val="24"/>
          <w:szCs w:val="24"/>
        </w:rPr>
        <w:t xml:space="preserve">Avec : </w:t>
      </w:r>
    </w:p>
    <w:p w:rsidR="006F7A3A" w:rsidRPr="001020DB" w:rsidRDefault="00A942AA" w:rsidP="00285222">
      <w:pPr>
        <w:jc w:val="both"/>
        <w:rPr>
          <w:rFonts w:asciiTheme="majorBidi" w:hAnsiTheme="majorBidi" w:cstheme="majorBidi"/>
          <w:sz w:val="24"/>
          <w:szCs w:val="24"/>
        </w:rPr>
      </w:pPr>
      <w:r w:rsidRPr="001020DB">
        <w:rPr>
          <w:rFonts w:asciiTheme="majorBidi" w:hAnsiTheme="majorBidi" w:cstheme="majorBidi"/>
          <w:i/>
          <w:iCs/>
          <w:sz w:val="24"/>
          <w:szCs w:val="24"/>
        </w:rPr>
        <w:t xml:space="preserve">db </w:t>
      </w:r>
      <w:r w:rsidRPr="001020DB">
        <w:rPr>
          <w:rFonts w:asciiTheme="majorBidi" w:hAnsiTheme="majorBidi" w:cstheme="majorBidi"/>
          <w:sz w:val="24"/>
          <w:szCs w:val="24"/>
        </w:rPr>
        <w:t xml:space="preserve">= densité de la roche, </w:t>
      </w:r>
      <w:r w:rsidRPr="001020DB">
        <w:rPr>
          <w:rFonts w:asciiTheme="majorBidi" w:hAnsiTheme="majorBidi" w:cstheme="majorBidi"/>
          <w:i/>
          <w:iCs/>
          <w:sz w:val="24"/>
          <w:szCs w:val="24"/>
        </w:rPr>
        <w:t xml:space="preserve">dma </w:t>
      </w:r>
      <w:r w:rsidRPr="001020DB">
        <w:rPr>
          <w:rFonts w:asciiTheme="majorBidi" w:hAnsiTheme="majorBidi" w:cstheme="majorBidi"/>
          <w:sz w:val="24"/>
          <w:szCs w:val="24"/>
        </w:rPr>
        <w:t xml:space="preserve">= densité de la matrice, </w:t>
      </w:r>
      <w:r w:rsidRPr="001020DB">
        <w:rPr>
          <w:rFonts w:asciiTheme="majorBidi" w:hAnsiTheme="majorBidi" w:cstheme="majorBidi"/>
          <w:i/>
          <w:iCs/>
          <w:sz w:val="24"/>
          <w:szCs w:val="24"/>
        </w:rPr>
        <w:t xml:space="preserve">df </w:t>
      </w:r>
      <w:r w:rsidRPr="001020DB">
        <w:rPr>
          <w:rFonts w:asciiTheme="majorBidi" w:hAnsiTheme="majorBidi" w:cstheme="majorBidi"/>
          <w:sz w:val="24"/>
          <w:szCs w:val="24"/>
        </w:rPr>
        <w:t>= densité du fluide contenu dans les pores,</w:t>
      </w:r>
    </w:p>
    <w:p w:rsidR="006F7A3A" w:rsidRPr="001020DB" w:rsidRDefault="006F7A3A" w:rsidP="00285222">
      <w:pPr>
        <w:jc w:val="both"/>
        <w:rPr>
          <w:rFonts w:asciiTheme="majorBidi" w:hAnsiTheme="majorBidi" w:cstheme="majorBidi"/>
          <w:sz w:val="24"/>
          <w:szCs w:val="24"/>
        </w:rPr>
      </w:pPr>
      <w:r w:rsidRPr="001020DB">
        <w:rPr>
          <w:rFonts w:asciiTheme="majorBidi" w:hAnsiTheme="majorBidi" w:cstheme="majorBidi"/>
          <w:i/>
          <w:iCs/>
          <w:sz w:val="24"/>
          <w:szCs w:val="24"/>
        </w:rPr>
        <w:t>φ</w:t>
      </w:r>
      <w:r w:rsidR="00A942AA" w:rsidRPr="001020DB">
        <w:rPr>
          <w:rFonts w:asciiTheme="majorBidi" w:hAnsiTheme="majorBidi" w:cstheme="majorBidi"/>
          <w:i/>
          <w:iCs/>
          <w:sz w:val="24"/>
          <w:szCs w:val="24"/>
        </w:rPr>
        <w:t xml:space="preserve"> </w:t>
      </w:r>
      <w:r w:rsidR="00A942AA" w:rsidRPr="001020DB">
        <w:rPr>
          <w:rFonts w:asciiTheme="majorBidi" w:hAnsiTheme="majorBidi" w:cstheme="majorBidi"/>
          <w:sz w:val="24"/>
          <w:szCs w:val="24"/>
        </w:rPr>
        <w:t xml:space="preserve">= porosité en %. </w:t>
      </w:r>
    </w:p>
    <w:p w:rsidR="00A942AA" w:rsidRPr="001020DB" w:rsidRDefault="00A942AA" w:rsidP="00285222">
      <w:pPr>
        <w:jc w:val="both"/>
        <w:rPr>
          <w:rFonts w:asciiTheme="majorBidi" w:hAnsiTheme="majorBidi" w:cstheme="majorBidi"/>
          <w:sz w:val="24"/>
          <w:szCs w:val="24"/>
        </w:rPr>
      </w:pPr>
      <w:r w:rsidRPr="001020DB">
        <w:rPr>
          <w:rFonts w:asciiTheme="majorBidi" w:hAnsiTheme="majorBidi" w:cstheme="majorBidi"/>
          <w:sz w:val="24"/>
          <w:szCs w:val="24"/>
        </w:rPr>
        <w:t>Le tableau suivant donne les gammes de valeurs pour les principaux paramètres physiques :</w:t>
      </w:r>
    </w:p>
    <w:p w:rsidR="007A5697" w:rsidRPr="001020DB" w:rsidRDefault="007A5697" w:rsidP="006F7A3A">
      <w:pPr>
        <w:rPr>
          <w:sz w:val="24"/>
          <w:szCs w:val="24"/>
        </w:rPr>
      </w:pPr>
    </w:p>
    <w:p w:rsidR="007A5697" w:rsidRPr="001020DB" w:rsidRDefault="007A5697" w:rsidP="006F7A3A">
      <w:pPr>
        <w:rPr>
          <w:rFonts w:asciiTheme="majorBidi" w:hAnsiTheme="majorBidi" w:cstheme="majorBidi"/>
          <w:sz w:val="24"/>
          <w:szCs w:val="24"/>
        </w:rPr>
      </w:pPr>
      <w:r w:rsidRPr="001020DB">
        <w:rPr>
          <w:rFonts w:asciiTheme="majorBidi" w:hAnsiTheme="majorBidi" w:cstheme="majorBidi"/>
          <w:noProof/>
          <w:sz w:val="24"/>
          <w:szCs w:val="24"/>
          <w:lang w:eastAsia="fr-FR"/>
        </w:rPr>
        <w:lastRenderedPageBreak/>
        <w:drawing>
          <wp:inline distT="0" distB="0" distL="0" distR="0">
            <wp:extent cx="5760720" cy="8497807"/>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760720" cy="8497807"/>
                    </a:xfrm>
                    <a:prstGeom prst="rect">
                      <a:avLst/>
                    </a:prstGeom>
                    <a:noFill/>
                    <a:ln w="9525">
                      <a:noFill/>
                      <a:miter lim="800000"/>
                      <a:headEnd/>
                      <a:tailEnd/>
                    </a:ln>
                  </pic:spPr>
                </pic:pic>
              </a:graphicData>
            </a:graphic>
          </wp:inline>
        </w:drawing>
      </w:r>
    </w:p>
    <w:p w:rsidR="0006406C" w:rsidRPr="001020DB" w:rsidRDefault="007A5697" w:rsidP="0006406C">
      <w:pPr>
        <w:pStyle w:val="Default"/>
        <w:rPr>
          <w:rFonts w:asciiTheme="majorBidi" w:hAnsiTheme="majorBidi" w:cstheme="majorBidi"/>
          <w:color w:val="auto"/>
        </w:rPr>
      </w:pPr>
      <w:r w:rsidRPr="001020DB">
        <w:rPr>
          <w:rFonts w:asciiTheme="majorBidi" w:hAnsiTheme="majorBidi" w:cstheme="majorBidi"/>
          <w:color w:val="auto"/>
        </w:rPr>
        <w:lastRenderedPageBreak/>
        <w:t xml:space="preserve">Certains paramètres physiques peuvent être mis en relation, ainsi une roche à faible porosité aura une vitesse sismique élevée mais aussi une densité élevée. On peut donc relier vitesse sismique et densité, ces deux paramètres dépendant fortement de la porosité. </w:t>
      </w:r>
    </w:p>
    <w:p w:rsidR="007A5697" w:rsidRPr="001020DB" w:rsidRDefault="007A5697" w:rsidP="007A5697">
      <w:pPr>
        <w:pStyle w:val="Default"/>
        <w:rPr>
          <w:rFonts w:asciiTheme="majorBidi" w:hAnsiTheme="majorBidi" w:cstheme="majorBidi"/>
          <w:color w:val="auto"/>
        </w:rPr>
      </w:pPr>
    </w:p>
    <w:p w:rsidR="0006406C" w:rsidRPr="001020DB" w:rsidRDefault="0006406C" w:rsidP="0006406C">
      <w:pPr>
        <w:pStyle w:val="Default"/>
        <w:rPr>
          <w:rFonts w:asciiTheme="majorBidi" w:hAnsiTheme="majorBidi" w:cstheme="majorBidi"/>
          <w:color w:val="auto"/>
        </w:rPr>
      </w:pPr>
      <w:r w:rsidRPr="001020DB">
        <w:rPr>
          <w:rFonts w:asciiTheme="majorBidi" w:hAnsiTheme="majorBidi" w:cstheme="majorBidi"/>
          <w:b/>
          <w:bCs/>
          <w:color w:val="auto"/>
        </w:rPr>
        <w:t xml:space="preserve">La résistivité </w:t>
      </w:r>
    </w:p>
    <w:p w:rsidR="001159A7" w:rsidRPr="001020DB" w:rsidRDefault="0006406C" w:rsidP="0006406C">
      <w:pPr>
        <w:rPr>
          <w:rFonts w:asciiTheme="majorBidi" w:hAnsiTheme="majorBidi" w:cstheme="majorBidi"/>
          <w:b/>
          <w:bCs/>
          <w:sz w:val="24"/>
          <w:szCs w:val="24"/>
        </w:rPr>
      </w:pPr>
      <w:r w:rsidRPr="001020DB">
        <w:rPr>
          <w:rFonts w:asciiTheme="majorBidi" w:hAnsiTheme="majorBidi" w:cstheme="majorBidi"/>
          <w:b/>
          <w:bCs/>
          <w:sz w:val="24"/>
          <w:szCs w:val="24"/>
        </w:rPr>
        <w:t>Définition: La résistivité d'un milieu est la propriété physique qui détermine la capacité de ce milieu à s’opposer au passage d’un courant électrique.</w:t>
      </w:r>
    </w:p>
    <w:p w:rsidR="007A5697" w:rsidRPr="001020DB" w:rsidRDefault="0006406C" w:rsidP="0006406C">
      <w:pPr>
        <w:rPr>
          <w:rFonts w:asciiTheme="majorBidi" w:hAnsiTheme="majorBidi" w:cstheme="majorBidi"/>
          <w:sz w:val="24"/>
          <w:szCs w:val="24"/>
        </w:rPr>
      </w:pPr>
      <w:r w:rsidRPr="001020DB">
        <w:rPr>
          <w:rFonts w:asciiTheme="majorBidi" w:hAnsiTheme="majorBidi" w:cstheme="majorBidi"/>
          <w:sz w:val="24"/>
          <w:szCs w:val="24"/>
        </w:rPr>
        <w:t xml:space="preserve">On considère un courant électrique qui traverse de manière uniforme un cylindre d’une section à l’autre. La résistivité est la résistance ohmique d'un cylindre de section </w:t>
      </w:r>
      <w:r w:rsidRPr="001020DB">
        <w:rPr>
          <w:rFonts w:asciiTheme="majorBidi" w:hAnsiTheme="majorBidi" w:cstheme="majorBidi"/>
          <w:i/>
          <w:iCs/>
          <w:sz w:val="24"/>
          <w:szCs w:val="24"/>
        </w:rPr>
        <w:t xml:space="preserve">S </w:t>
      </w:r>
      <w:r w:rsidRPr="001020DB">
        <w:rPr>
          <w:rFonts w:asciiTheme="majorBidi" w:hAnsiTheme="majorBidi" w:cstheme="majorBidi"/>
          <w:sz w:val="24"/>
          <w:szCs w:val="24"/>
        </w:rPr>
        <w:t xml:space="preserve">et de longueur </w:t>
      </w:r>
      <w:r w:rsidRPr="001020DB">
        <w:rPr>
          <w:rFonts w:asciiTheme="majorBidi" w:hAnsiTheme="majorBidi" w:cstheme="majorBidi"/>
          <w:i/>
          <w:iCs/>
          <w:sz w:val="24"/>
          <w:szCs w:val="24"/>
        </w:rPr>
        <w:t>L</w:t>
      </w:r>
      <w:r w:rsidRPr="001020DB">
        <w:rPr>
          <w:rFonts w:asciiTheme="majorBidi" w:hAnsiTheme="majorBidi" w:cstheme="majorBidi"/>
          <w:sz w:val="24"/>
          <w:szCs w:val="24"/>
        </w:rPr>
        <w:t>.</w:t>
      </w:r>
    </w:p>
    <w:p w:rsidR="0006406C" w:rsidRPr="001020DB" w:rsidRDefault="0006406C" w:rsidP="0006406C">
      <w:pPr>
        <w:rPr>
          <w:rFonts w:asciiTheme="majorBidi" w:hAnsiTheme="majorBidi" w:cstheme="majorBidi"/>
          <w:sz w:val="24"/>
          <w:szCs w:val="24"/>
        </w:rPr>
      </w:pPr>
    </w:p>
    <w:p w:rsidR="0006406C" w:rsidRPr="001020DB" w:rsidRDefault="0006406C" w:rsidP="0006406C">
      <w:pPr>
        <w:jc w:val="center"/>
        <w:rPr>
          <w:rFonts w:asciiTheme="majorBidi" w:hAnsiTheme="majorBidi" w:cstheme="majorBidi"/>
          <w:b/>
          <w:bCs/>
          <w:i/>
          <w:iCs/>
          <w:sz w:val="28"/>
          <w:szCs w:val="28"/>
        </w:rPr>
      </w:pPr>
      <w:r w:rsidRPr="001020DB">
        <w:rPr>
          <w:rFonts w:asciiTheme="majorBidi" w:hAnsiTheme="majorBidi" w:cstheme="majorBidi"/>
          <w:b/>
          <w:bCs/>
          <w:i/>
          <w:iCs/>
          <w:sz w:val="28"/>
          <w:szCs w:val="28"/>
        </w:rPr>
        <w:t>R= ρ L/S</w:t>
      </w:r>
    </w:p>
    <w:p w:rsidR="0006406C" w:rsidRPr="001020DB" w:rsidRDefault="0006406C" w:rsidP="0006406C">
      <w:pPr>
        <w:pStyle w:val="Default"/>
        <w:rPr>
          <w:rFonts w:asciiTheme="majorBidi" w:hAnsiTheme="majorBidi" w:cstheme="majorBidi"/>
          <w:color w:val="auto"/>
        </w:rPr>
      </w:pPr>
      <w:r w:rsidRPr="001020DB">
        <w:rPr>
          <w:rFonts w:asciiTheme="majorBidi" w:hAnsiTheme="majorBidi" w:cstheme="majorBidi"/>
          <w:color w:val="auto"/>
        </w:rPr>
        <w:t xml:space="preserve">Avec : </w:t>
      </w:r>
      <w:r w:rsidRPr="001020DB">
        <w:rPr>
          <w:rFonts w:asciiTheme="majorBidi" w:hAnsiTheme="majorBidi" w:cstheme="majorBidi"/>
          <w:i/>
          <w:iCs/>
          <w:color w:val="auto"/>
        </w:rPr>
        <w:t xml:space="preserve">R </w:t>
      </w:r>
      <w:r w:rsidRPr="001020DB">
        <w:rPr>
          <w:rFonts w:asciiTheme="majorBidi" w:hAnsiTheme="majorBidi" w:cstheme="majorBidi"/>
          <w:color w:val="auto"/>
        </w:rPr>
        <w:t xml:space="preserve">= résistance (ohms) et = résistivité ( Ωm) </w:t>
      </w:r>
    </w:p>
    <w:p w:rsidR="00B555AE" w:rsidRPr="001020DB" w:rsidRDefault="0006406C" w:rsidP="0006406C">
      <w:pPr>
        <w:pStyle w:val="Default"/>
        <w:rPr>
          <w:rFonts w:asciiTheme="majorBidi" w:hAnsiTheme="majorBidi" w:cstheme="majorBidi"/>
          <w:color w:val="auto"/>
        </w:rPr>
      </w:pPr>
      <w:r w:rsidRPr="001020DB">
        <w:rPr>
          <w:rFonts w:asciiTheme="majorBidi" w:hAnsiTheme="majorBidi" w:cstheme="majorBidi"/>
          <w:color w:val="auto"/>
        </w:rPr>
        <w:t xml:space="preserve">Les unités S.I. (Système International) sont l'ohm (Ω ) pour les résistances et le mètre pour les longueurs. L'unité de résistivité sera donc l’ohm.m (ou Ωm). L'ohm.cm employé parfois vaut 0,01Ω m. La conductibilité </w:t>
      </w:r>
      <w:r w:rsidR="00B555AE" w:rsidRPr="001020DB">
        <w:rPr>
          <w:rFonts w:asciiTheme="majorBidi" w:hAnsiTheme="majorBidi" w:cstheme="majorBidi"/>
          <w:color w:val="auto"/>
        </w:rPr>
        <w:t xml:space="preserve">σ </w:t>
      </w:r>
      <w:r w:rsidRPr="001020DB">
        <w:rPr>
          <w:rFonts w:asciiTheme="majorBidi" w:hAnsiTheme="majorBidi" w:cstheme="majorBidi"/>
          <w:color w:val="auto"/>
        </w:rPr>
        <w:t xml:space="preserve">est l'inverse de la résistivité et s'exprime en mho/m. </w:t>
      </w:r>
    </w:p>
    <w:p w:rsidR="00B555AE" w:rsidRPr="001020DB" w:rsidRDefault="0006406C" w:rsidP="0006406C">
      <w:pPr>
        <w:pStyle w:val="Default"/>
        <w:rPr>
          <w:rFonts w:asciiTheme="majorBidi" w:hAnsiTheme="majorBidi" w:cstheme="majorBidi"/>
          <w:color w:val="auto"/>
        </w:rPr>
      </w:pPr>
      <w:r w:rsidRPr="001020DB">
        <w:rPr>
          <w:rFonts w:asciiTheme="majorBidi" w:hAnsiTheme="majorBidi" w:cstheme="majorBidi"/>
          <w:color w:val="auto"/>
        </w:rPr>
        <w:t xml:space="preserve">En hydrogéologie, on emploie le plus souvent le micromhos /cm ou microsiemens/cm (ou </w:t>
      </w:r>
      <w:r w:rsidR="00B555AE" w:rsidRPr="001020DB">
        <w:rPr>
          <w:rFonts w:asciiTheme="majorBidi" w:hAnsiTheme="majorBidi" w:cstheme="majorBidi"/>
          <w:color w:val="auto"/>
        </w:rPr>
        <w:t>µ</w:t>
      </w:r>
      <w:r w:rsidRPr="001020DB">
        <w:rPr>
          <w:rFonts w:asciiTheme="majorBidi" w:hAnsiTheme="majorBidi" w:cstheme="majorBidi"/>
          <w:color w:val="auto"/>
        </w:rPr>
        <w:t xml:space="preserve">S/cm). </w:t>
      </w:r>
    </w:p>
    <w:p w:rsidR="00B555AE" w:rsidRPr="001020DB" w:rsidRDefault="00B555AE" w:rsidP="0006406C">
      <w:pPr>
        <w:pStyle w:val="Default"/>
        <w:rPr>
          <w:rFonts w:asciiTheme="majorBidi" w:hAnsiTheme="majorBidi" w:cstheme="majorBidi"/>
          <w:color w:val="auto"/>
        </w:rPr>
      </w:pPr>
      <w:r w:rsidRPr="001020DB">
        <w:rPr>
          <w:rFonts w:asciiTheme="majorBidi" w:hAnsiTheme="majorBidi" w:cstheme="majorBidi"/>
          <w:color w:val="auto"/>
        </w:rPr>
        <w:t>ρ</w:t>
      </w:r>
      <w:r w:rsidR="0006406C" w:rsidRPr="001020DB">
        <w:rPr>
          <w:rFonts w:asciiTheme="majorBidi" w:hAnsiTheme="majorBidi" w:cstheme="majorBidi"/>
          <w:color w:val="auto"/>
        </w:rPr>
        <w:t>(</w:t>
      </w:r>
      <w:r w:rsidRPr="001020DB">
        <w:rPr>
          <w:rFonts w:asciiTheme="majorBidi" w:hAnsiTheme="majorBidi" w:cstheme="majorBidi"/>
          <w:color w:val="auto"/>
        </w:rPr>
        <w:t>Ω</w:t>
      </w:r>
      <w:r w:rsidR="0006406C" w:rsidRPr="001020DB">
        <w:rPr>
          <w:rFonts w:asciiTheme="majorBidi" w:hAnsiTheme="majorBidi" w:cstheme="majorBidi"/>
          <w:color w:val="auto"/>
        </w:rPr>
        <w:t xml:space="preserve"> m) = 10'000 / </w:t>
      </w:r>
      <w:r w:rsidRPr="001020DB">
        <w:rPr>
          <w:rFonts w:asciiTheme="majorBidi" w:hAnsiTheme="majorBidi" w:cstheme="majorBidi"/>
          <w:color w:val="auto"/>
        </w:rPr>
        <w:t>σ</w:t>
      </w:r>
      <w:r w:rsidR="0006406C" w:rsidRPr="001020DB">
        <w:rPr>
          <w:rFonts w:asciiTheme="majorBidi" w:hAnsiTheme="majorBidi" w:cstheme="majorBidi"/>
          <w:color w:val="auto"/>
        </w:rPr>
        <w:t>(microsiemens/cm) = 1000 /</w:t>
      </w:r>
      <w:r w:rsidRPr="001020DB">
        <w:rPr>
          <w:rFonts w:asciiTheme="majorBidi" w:hAnsiTheme="majorBidi" w:cstheme="majorBidi"/>
          <w:color w:val="auto"/>
        </w:rPr>
        <w:t>σ</w:t>
      </w:r>
      <w:r w:rsidR="0006406C" w:rsidRPr="001020DB">
        <w:rPr>
          <w:rFonts w:asciiTheme="majorBidi" w:hAnsiTheme="majorBidi" w:cstheme="majorBidi"/>
          <w:color w:val="auto"/>
        </w:rPr>
        <w:t xml:space="preserve"> (millisiemens/m) </w:t>
      </w:r>
    </w:p>
    <w:p w:rsidR="0006406C" w:rsidRPr="001020DB" w:rsidRDefault="0006406C" w:rsidP="0006406C">
      <w:pPr>
        <w:pStyle w:val="Default"/>
        <w:rPr>
          <w:rFonts w:asciiTheme="majorBidi" w:hAnsiTheme="majorBidi" w:cstheme="majorBidi"/>
          <w:color w:val="auto"/>
        </w:rPr>
      </w:pPr>
      <w:r w:rsidRPr="001020DB">
        <w:rPr>
          <w:rFonts w:asciiTheme="majorBidi" w:hAnsiTheme="majorBidi" w:cstheme="majorBidi"/>
          <w:color w:val="auto"/>
        </w:rPr>
        <w:t xml:space="preserve">A strictement parler la loi d'Ohm n'est valable que pour les conducteurs métalliques, pour les gaz et les électrolytes, elle n'est qu'une approximation. </w:t>
      </w:r>
    </w:p>
    <w:p w:rsidR="00B555AE" w:rsidRPr="001020DB" w:rsidRDefault="00B555AE" w:rsidP="0006406C">
      <w:pPr>
        <w:pStyle w:val="Default"/>
        <w:rPr>
          <w:rFonts w:asciiTheme="majorBidi" w:hAnsiTheme="majorBidi" w:cstheme="majorBidi"/>
          <w:color w:val="auto"/>
        </w:rPr>
      </w:pPr>
    </w:p>
    <w:p w:rsidR="0006406C" w:rsidRPr="001020DB" w:rsidRDefault="0006406C" w:rsidP="0006406C">
      <w:pPr>
        <w:pStyle w:val="Default"/>
        <w:rPr>
          <w:rFonts w:asciiTheme="majorBidi" w:hAnsiTheme="majorBidi" w:cstheme="majorBidi"/>
          <w:color w:val="auto"/>
        </w:rPr>
      </w:pPr>
      <w:r w:rsidRPr="001020DB">
        <w:rPr>
          <w:rFonts w:asciiTheme="majorBidi" w:hAnsiTheme="majorBidi" w:cstheme="majorBidi"/>
          <w:b/>
          <w:bCs/>
          <w:color w:val="auto"/>
        </w:rPr>
        <w:t xml:space="preserve">La conduction du courant dans la proche surface </w:t>
      </w:r>
    </w:p>
    <w:p w:rsidR="00B555AE" w:rsidRPr="001020DB" w:rsidRDefault="00B555AE" w:rsidP="00B555AE">
      <w:pPr>
        <w:pStyle w:val="Default"/>
        <w:rPr>
          <w:rFonts w:asciiTheme="majorBidi" w:hAnsiTheme="majorBidi" w:cstheme="majorBidi"/>
          <w:color w:val="auto"/>
        </w:rPr>
      </w:pPr>
      <w:r w:rsidRPr="001020DB">
        <w:rPr>
          <w:rFonts w:asciiTheme="majorBidi" w:hAnsiTheme="majorBidi" w:cstheme="majorBidi"/>
          <w:color w:val="auto"/>
        </w:rPr>
        <w:t xml:space="preserve">Un sol, une roche, ou des vestiges archéologiques conduisent l'électricité le plus souvent grâce à l'eau qu'ils contiennent (conductivité électrolytique). Cela signifie que ce sont les ions qui transportent des charges sous l'effet du champ électrique et un déplacement de charges électriques équivaut à un courant électrique. Ainsi, les roches conduisent le courant électrique grâce à l'eau qu'elles contiennent. La résistivité d'une roche va dépendre de: </w:t>
      </w:r>
    </w:p>
    <w:p w:rsidR="00B555AE" w:rsidRPr="001020DB" w:rsidRDefault="00B555AE" w:rsidP="00D95554">
      <w:pPr>
        <w:pStyle w:val="Default"/>
        <w:numPr>
          <w:ilvl w:val="0"/>
          <w:numId w:val="3"/>
        </w:numPr>
        <w:spacing w:after="15"/>
        <w:rPr>
          <w:rFonts w:asciiTheme="majorBidi" w:hAnsiTheme="majorBidi" w:cstheme="majorBidi"/>
          <w:color w:val="auto"/>
        </w:rPr>
      </w:pPr>
      <w:r w:rsidRPr="001020DB">
        <w:rPr>
          <w:rFonts w:asciiTheme="majorBidi" w:hAnsiTheme="majorBidi" w:cstheme="majorBidi"/>
          <w:color w:val="auto"/>
        </w:rPr>
        <w:t>La qualité de l'électrolyte, c'est-à-dire de la résistivité de l'eau d'imbibition ρ</w:t>
      </w:r>
      <w:r w:rsidRPr="001020DB">
        <w:rPr>
          <w:rFonts w:asciiTheme="majorBidi" w:hAnsiTheme="majorBidi" w:cstheme="majorBidi"/>
          <w:color w:val="auto"/>
          <w:vertAlign w:val="subscript"/>
        </w:rPr>
        <w:t>w</w:t>
      </w:r>
      <w:r w:rsidRPr="001020DB">
        <w:rPr>
          <w:rFonts w:asciiTheme="majorBidi" w:hAnsiTheme="majorBidi" w:cstheme="majorBidi"/>
          <w:color w:val="auto"/>
        </w:rPr>
        <w:t xml:space="preserve"> et par conséquent de la quantité de sels dissous. </w:t>
      </w:r>
    </w:p>
    <w:p w:rsidR="00B555AE" w:rsidRPr="001020DB" w:rsidRDefault="00B555AE" w:rsidP="00D95554">
      <w:pPr>
        <w:pStyle w:val="Default"/>
        <w:numPr>
          <w:ilvl w:val="0"/>
          <w:numId w:val="3"/>
        </w:numPr>
        <w:spacing w:after="15"/>
        <w:rPr>
          <w:rFonts w:asciiTheme="majorBidi" w:hAnsiTheme="majorBidi" w:cstheme="majorBidi"/>
          <w:color w:val="auto"/>
        </w:rPr>
      </w:pPr>
      <w:r w:rsidRPr="001020DB">
        <w:rPr>
          <w:rFonts w:asciiTheme="majorBidi" w:hAnsiTheme="majorBidi" w:cstheme="majorBidi"/>
          <w:color w:val="auto"/>
        </w:rPr>
        <w:t xml:space="preserve">La quantité d'électrolyte contenu dans l'unité de volume de la roche (porosité) </w:t>
      </w:r>
    </w:p>
    <w:p w:rsidR="00B555AE" w:rsidRPr="001020DB" w:rsidRDefault="00B555AE" w:rsidP="00D95554">
      <w:pPr>
        <w:pStyle w:val="Default"/>
        <w:numPr>
          <w:ilvl w:val="0"/>
          <w:numId w:val="3"/>
        </w:numPr>
        <w:spacing w:after="15"/>
        <w:rPr>
          <w:rFonts w:asciiTheme="majorBidi" w:hAnsiTheme="majorBidi" w:cstheme="majorBidi"/>
          <w:color w:val="auto"/>
        </w:rPr>
      </w:pPr>
      <w:r w:rsidRPr="001020DB">
        <w:rPr>
          <w:rFonts w:asciiTheme="majorBidi" w:hAnsiTheme="majorBidi" w:cstheme="majorBidi"/>
          <w:color w:val="auto"/>
        </w:rPr>
        <w:t xml:space="preserve">La saturation </w:t>
      </w:r>
    </w:p>
    <w:p w:rsidR="00B555AE" w:rsidRPr="001020DB" w:rsidRDefault="00B555AE" w:rsidP="00D95554">
      <w:pPr>
        <w:pStyle w:val="Default"/>
        <w:numPr>
          <w:ilvl w:val="0"/>
          <w:numId w:val="3"/>
        </w:numPr>
        <w:rPr>
          <w:rFonts w:asciiTheme="majorBidi" w:hAnsiTheme="majorBidi" w:cstheme="majorBidi"/>
          <w:color w:val="auto"/>
        </w:rPr>
      </w:pPr>
      <w:r w:rsidRPr="001020DB">
        <w:rPr>
          <w:rFonts w:asciiTheme="majorBidi" w:hAnsiTheme="majorBidi" w:cstheme="majorBidi"/>
          <w:color w:val="auto"/>
        </w:rPr>
        <w:t xml:space="preserve">La température </w:t>
      </w:r>
    </w:p>
    <w:p w:rsidR="00B555AE" w:rsidRPr="001020DB" w:rsidRDefault="00B555AE" w:rsidP="00B555AE">
      <w:pPr>
        <w:pStyle w:val="Default"/>
        <w:rPr>
          <w:rFonts w:asciiTheme="majorBidi" w:hAnsiTheme="majorBidi" w:cstheme="majorBidi"/>
          <w:color w:val="auto"/>
        </w:rPr>
      </w:pPr>
    </w:p>
    <w:p w:rsidR="00B555AE" w:rsidRPr="001020DB" w:rsidRDefault="00B555AE" w:rsidP="00B555AE">
      <w:pPr>
        <w:pStyle w:val="Default"/>
        <w:rPr>
          <w:rFonts w:asciiTheme="majorBidi" w:hAnsiTheme="majorBidi" w:cstheme="majorBidi"/>
          <w:b/>
          <w:bCs/>
          <w:color w:val="auto"/>
        </w:rPr>
      </w:pPr>
      <w:r w:rsidRPr="001020DB">
        <w:rPr>
          <w:rFonts w:asciiTheme="majorBidi" w:hAnsiTheme="majorBidi" w:cstheme="majorBidi"/>
          <w:b/>
          <w:bCs/>
          <w:i/>
          <w:iCs/>
          <w:color w:val="auto"/>
        </w:rPr>
        <w:t xml:space="preserve">La qualité de l’électrolyte (salinité) </w:t>
      </w:r>
    </w:p>
    <w:p w:rsidR="00E16A48" w:rsidRPr="001020DB" w:rsidRDefault="00B555AE" w:rsidP="007F123D">
      <w:pPr>
        <w:pStyle w:val="Default"/>
        <w:jc w:val="both"/>
        <w:rPr>
          <w:rFonts w:asciiTheme="majorBidi" w:hAnsiTheme="majorBidi" w:cstheme="majorBidi"/>
          <w:color w:val="auto"/>
        </w:rPr>
      </w:pPr>
      <w:r w:rsidRPr="001020DB">
        <w:rPr>
          <w:rFonts w:asciiTheme="majorBidi" w:hAnsiTheme="majorBidi" w:cstheme="majorBidi"/>
          <w:color w:val="auto"/>
        </w:rPr>
        <w:t xml:space="preserve">Quand un sel se dissout dans l'eau, il se dissocie en ions chargés positivement et ions chargés négativement. Lorsque l'on applique un champ électrique, les ions vont se déplacer. Ce déplacement est gêné par la viscosité de l'eau et pour un ion donné atteint une vitesse limite appelée la mobilité des ions. La conductibilité d'un électrolyte dépend en fait de la teneur en ions et de la mobilité des différents ions en solution et du degré de dissociation. La mobilité des ions étant différente pour chaque ion, on a par exemple les vitesses limites suivantes: </w:t>
      </w:r>
    </w:p>
    <w:tbl>
      <w:tblPr>
        <w:tblW w:w="0" w:type="auto"/>
        <w:tblBorders>
          <w:top w:val="nil"/>
          <w:left w:val="nil"/>
          <w:bottom w:val="nil"/>
          <w:right w:val="nil"/>
        </w:tblBorders>
        <w:tblLayout w:type="fixed"/>
        <w:tblLook w:val="0000"/>
      </w:tblPr>
      <w:tblGrid>
        <w:gridCol w:w="8708"/>
      </w:tblGrid>
      <w:tr w:rsidR="00B555AE" w:rsidRPr="001020DB">
        <w:trPr>
          <w:trHeight w:val="120"/>
        </w:trPr>
        <w:tc>
          <w:tcPr>
            <w:tcW w:w="8708" w:type="dxa"/>
          </w:tcPr>
          <w:p w:rsidR="00B555AE" w:rsidRPr="001020DB" w:rsidRDefault="00B555AE" w:rsidP="007F123D">
            <w:pPr>
              <w:pStyle w:val="Default"/>
              <w:jc w:val="both"/>
              <w:rPr>
                <w:rFonts w:asciiTheme="majorBidi" w:hAnsiTheme="majorBidi" w:cstheme="majorBidi"/>
                <w:color w:val="auto"/>
              </w:rPr>
            </w:pPr>
          </w:p>
        </w:tc>
      </w:tr>
    </w:tbl>
    <w:p w:rsidR="003A6768" w:rsidRPr="001020DB" w:rsidRDefault="003A6768" w:rsidP="007F123D">
      <w:pPr>
        <w:pStyle w:val="Default"/>
        <w:jc w:val="both"/>
        <w:rPr>
          <w:rFonts w:asciiTheme="majorBidi" w:hAnsiTheme="majorBidi" w:cstheme="majorBidi"/>
          <w:color w:val="auto"/>
        </w:rPr>
      </w:pPr>
      <w:r w:rsidRPr="001020DB">
        <w:rPr>
          <w:rFonts w:asciiTheme="majorBidi" w:hAnsiTheme="majorBidi" w:cstheme="majorBidi"/>
          <w:color w:val="auto"/>
        </w:rPr>
        <w:t xml:space="preserve">H +                V = 36.2      l0 -8 m/sec </w:t>
      </w:r>
    </w:p>
    <w:p w:rsidR="003A6768" w:rsidRPr="001020DB" w:rsidRDefault="003A6768" w:rsidP="007F123D">
      <w:pPr>
        <w:pStyle w:val="Default"/>
        <w:jc w:val="both"/>
        <w:rPr>
          <w:rFonts w:asciiTheme="majorBidi" w:hAnsiTheme="majorBidi" w:cstheme="majorBidi"/>
          <w:color w:val="auto"/>
        </w:rPr>
      </w:pPr>
      <w:r w:rsidRPr="001020DB">
        <w:rPr>
          <w:rFonts w:asciiTheme="majorBidi" w:hAnsiTheme="majorBidi" w:cstheme="majorBidi"/>
          <w:color w:val="auto"/>
        </w:rPr>
        <w:t xml:space="preserve">OH-                      20.5        " </w:t>
      </w:r>
    </w:p>
    <w:p w:rsidR="003A6768" w:rsidRPr="001020DB" w:rsidRDefault="003A6768" w:rsidP="007F123D">
      <w:pPr>
        <w:jc w:val="both"/>
        <w:rPr>
          <w:rFonts w:asciiTheme="majorBidi" w:hAnsiTheme="majorBidi" w:cstheme="majorBidi"/>
          <w:sz w:val="24"/>
          <w:szCs w:val="24"/>
        </w:rPr>
      </w:pPr>
      <w:r w:rsidRPr="001020DB">
        <w:rPr>
          <w:rFonts w:asciiTheme="majorBidi" w:hAnsiTheme="majorBidi" w:cstheme="majorBidi"/>
          <w:sz w:val="24"/>
          <w:szCs w:val="24"/>
        </w:rPr>
        <w:t>S04 --                    8.3          "</w:t>
      </w:r>
    </w:p>
    <w:p w:rsidR="003A6768" w:rsidRPr="001020DB" w:rsidRDefault="003A6768" w:rsidP="007F123D">
      <w:pPr>
        <w:jc w:val="both"/>
        <w:rPr>
          <w:rFonts w:asciiTheme="majorBidi" w:hAnsiTheme="majorBidi" w:cstheme="majorBidi"/>
          <w:sz w:val="24"/>
          <w:szCs w:val="24"/>
        </w:rPr>
      </w:pPr>
      <w:r w:rsidRPr="001020DB">
        <w:rPr>
          <w:rFonts w:asciiTheme="majorBidi" w:hAnsiTheme="majorBidi" w:cstheme="majorBidi"/>
          <w:sz w:val="24"/>
          <w:szCs w:val="24"/>
        </w:rPr>
        <w:lastRenderedPageBreak/>
        <w:t xml:space="preserve"> Na +                5.2            " </w:t>
      </w:r>
    </w:p>
    <w:p w:rsidR="0006406C" w:rsidRPr="001020DB" w:rsidRDefault="003A6768" w:rsidP="007F123D">
      <w:pPr>
        <w:jc w:val="both"/>
        <w:rPr>
          <w:rFonts w:asciiTheme="majorBidi" w:hAnsiTheme="majorBidi" w:cstheme="majorBidi"/>
          <w:sz w:val="24"/>
          <w:szCs w:val="24"/>
        </w:rPr>
      </w:pPr>
      <w:r w:rsidRPr="001020DB">
        <w:rPr>
          <w:rFonts w:asciiTheme="majorBidi" w:hAnsiTheme="majorBidi" w:cstheme="majorBidi"/>
          <w:sz w:val="24"/>
          <w:szCs w:val="24"/>
        </w:rPr>
        <w:t xml:space="preserve">CL-                   7.9            " </w:t>
      </w:r>
    </w:p>
    <w:p w:rsidR="003A6768" w:rsidRPr="001020DB" w:rsidRDefault="003A6768" w:rsidP="007F123D">
      <w:pPr>
        <w:jc w:val="both"/>
        <w:rPr>
          <w:rFonts w:asciiTheme="majorBidi" w:hAnsiTheme="majorBidi" w:cstheme="majorBidi"/>
          <w:sz w:val="24"/>
          <w:szCs w:val="24"/>
        </w:rPr>
      </w:pPr>
      <w:r w:rsidRPr="001020DB">
        <w:rPr>
          <w:rFonts w:asciiTheme="majorBidi" w:hAnsiTheme="majorBidi" w:cstheme="majorBidi"/>
          <w:sz w:val="24"/>
          <w:szCs w:val="24"/>
        </w:rPr>
        <w:t>On note alors qu’une eau avec la même concentration en poids de sels dissous aura une résistivité différente selon les ions en présence.</w:t>
      </w:r>
    </w:p>
    <w:p w:rsidR="003A6768" w:rsidRPr="001020DB" w:rsidRDefault="003A6768" w:rsidP="007F123D">
      <w:pPr>
        <w:pStyle w:val="Default"/>
        <w:jc w:val="both"/>
        <w:rPr>
          <w:rFonts w:asciiTheme="majorBidi" w:hAnsiTheme="majorBidi" w:cstheme="majorBidi"/>
          <w:i/>
          <w:iCs/>
          <w:color w:val="auto"/>
        </w:rPr>
      </w:pPr>
    </w:p>
    <w:p w:rsidR="003A6768" w:rsidRPr="001020DB" w:rsidRDefault="003A6768" w:rsidP="007F123D">
      <w:pPr>
        <w:pStyle w:val="Default"/>
        <w:jc w:val="both"/>
        <w:rPr>
          <w:rFonts w:asciiTheme="majorBidi" w:hAnsiTheme="majorBidi" w:cstheme="majorBidi"/>
          <w:b/>
          <w:bCs/>
          <w:color w:val="auto"/>
        </w:rPr>
      </w:pPr>
      <w:r w:rsidRPr="001020DB">
        <w:rPr>
          <w:rFonts w:asciiTheme="majorBidi" w:hAnsiTheme="majorBidi" w:cstheme="majorBidi"/>
          <w:b/>
          <w:bCs/>
          <w:i/>
          <w:iCs/>
          <w:color w:val="auto"/>
        </w:rPr>
        <w:t xml:space="preserve">La quantité d'électrolyte (porosité) </w:t>
      </w:r>
    </w:p>
    <w:p w:rsidR="003A6768" w:rsidRPr="001020DB" w:rsidRDefault="003A6768" w:rsidP="007F123D">
      <w:pPr>
        <w:pStyle w:val="Default"/>
        <w:jc w:val="both"/>
        <w:rPr>
          <w:rFonts w:asciiTheme="majorBidi" w:hAnsiTheme="majorBidi" w:cstheme="majorBidi"/>
          <w:color w:val="auto"/>
        </w:rPr>
      </w:pPr>
      <w:r w:rsidRPr="001020DB">
        <w:rPr>
          <w:rFonts w:asciiTheme="majorBidi" w:hAnsiTheme="majorBidi" w:cstheme="majorBidi"/>
          <w:color w:val="auto"/>
        </w:rPr>
        <w:t xml:space="preserve">La quantité d'eau contenue dans les roches dépend de la </w:t>
      </w:r>
      <w:r w:rsidR="007F123D" w:rsidRPr="001020DB">
        <w:rPr>
          <w:rFonts w:asciiTheme="majorBidi" w:hAnsiTheme="majorBidi" w:cstheme="majorBidi"/>
          <w:color w:val="auto"/>
        </w:rPr>
        <w:t xml:space="preserve">porosité. </w:t>
      </w:r>
      <w:r w:rsidRPr="001020DB">
        <w:rPr>
          <w:rFonts w:asciiTheme="majorBidi" w:hAnsiTheme="majorBidi" w:cstheme="majorBidi"/>
          <w:color w:val="auto"/>
        </w:rPr>
        <w:t xml:space="preserve">On distingue la porosité totale et la porosité efficace: </w:t>
      </w:r>
    </w:p>
    <w:p w:rsidR="003A6768" w:rsidRPr="001020DB" w:rsidRDefault="003A6768" w:rsidP="007F123D">
      <w:pPr>
        <w:jc w:val="both"/>
        <w:rPr>
          <w:rFonts w:asciiTheme="majorBidi" w:hAnsiTheme="majorBidi" w:cstheme="majorBidi"/>
          <w:sz w:val="24"/>
          <w:szCs w:val="24"/>
        </w:rPr>
      </w:pPr>
      <w:r w:rsidRPr="001020DB">
        <w:rPr>
          <w:rFonts w:asciiTheme="majorBidi" w:hAnsiTheme="majorBidi" w:cstheme="majorBidi"/>
          <w:b/>
          <w:bCs/>
          <w:sz w:val="24"/>
          <w:szCs w:val="24"/>
        </w:rPr>
        <w:t xml:space="preserve">La porosité totale </w:t>
      </w:r>
      <w:r w:rsidR="007F123D" w:rsidRPr="001020DB">
        <w:rPr>
          <w:rFonts w:asciiTheme="majorBidi" w:hAnsiTheme="majorBidi" w:cstheme="majorBidi"/>
          <w:b/>
          <w:bCs/>
          <w:sz w:val="24"/>
          <w:szCs w:val="24"/>
        </w:rPr>
        <w:t>φ</w:t>
      </w:r>
      <w:r w:rsidRPr="001020DB">
        <w:rPr>
          <w:rFonts w:asciiTheme="majorBidi" w:hAnsiTheme="majorBidi" w:cstheme="majorBidi"/>
          <w:b/>
          <w:bCs/>
          <w:sz w:val="24"/>
          <w:szCs w:val="24"/>
          <w:vertAlign w:val="subscript"/>
        </w:rPr>
        <w:t>t</w:t>
      </w:r>
      <w:r w:rsidRPr="001020DB">
        <w:rPr>
          <w:rFonts w:asciiTheme="majorBidi" w:hAnsiTheme="majorBidi" w:cstheme="majorBidi"/>
          <w:b/>
          <w:bCs/>
          <w:sz w:val="24"/>
          <w:szCs w:val="24"/>
        </w:rPr>
        <w:t xml:space="preserve"> </w:t>
      </w:r>
      <w:r w:rsidRPr="001020DB">
        <w:rPr>
          <w:rFonts w:asciiTheme="majorBidi" w:hAnsiTheme="majorBidi" w:cstheme="majorBidi"/>
          <w:sz w:val="24"/>
          <w:szCs w:val="24"/>
        </w:rPr>
        <w:t>La porosité totale ou absolue est le rapport entre le volume des vides et le volume total de la roche C'est un nombre sans unité exprimé en % :</w:t>
      </w:r>
    </w:p>
    <w:p w:rsidR="003A6768" w:rsidRPr="001020DB" w:rsidRDefault="007F123D" w:rsidP="007F123D">
      <w:pPr>
        <w:jc w:val="center"/>
        <w:rPr>
          <w:rFonts w:asciiTheme="majorBidi" w:hAnsiTheme="majorBidi" w:cstheme="majorBidi"/>
          <w:b/>
          <w:bCs/>
          <w:sz w:val="24"/>
          <w:szCs w:val="24"/>
          <w:vertAlign w:val="subscript"/>
        </w:rPr>
      </w:pPr>
      <w:r w:rsidRPr="001020DB">
        <w:rPr>
          <w:rFonts w:asciiTheme="majorBidi" w:hAnsiTheme="majorBidi" w:cstheme="majorBidi"/>
          <w:b/>
          <w:bCs/>
          <w:sz w:val="24"/>
          <w:szCs w:val="24"/>
        </w:rPr>
        <w:t>Φ</w:t>
      </w:r>
      <w:r w:rsidRPr="001020DB">
        <w:rPr>
          <w:rFonts w:asciiTheme="majorBidi" w:hAnsiTheme="majorBidi" w:cstheme="majorBidi"/>
          <w:b/>
          <w:bCs/>
          <w:sz w:val="24"/>
          <w:szCs w:val="24"/>
          <w:vertAlign w:val="subscript"/>
        </w:rPr>
        <w:t xml:space="preserve">t  </w:t>
      </w:r>
      <w:r w:rsidRPr="001020DB">
        <w:rPr>
          <w:rFonts w:asciiTheme="majorBidi" w:hAnsiTheme="majorBidi" w:cstheme="majorBidi"/>
          <w:b/>
          <w:bCs/>
          <w:sz w:val="24"/>
          <w:szCs w:val="24"/>
        </w:rPr>
        <w:t>=</w:t>
      </w:r>
      <w:r w:rsidRPr="001020DB">
        <w:rPr>
          <w:rFonts w:asciiTheme="majorBidi" w:hAnsiTheme="majorBidi" w:cstheme="majorBidi"/>
          <w:b/>
          <w:bCs/>
          <w:sz w:val="24"/>
          <w:szCs w:val="24"/>
          <w:vertAlign w:val="subscript"/>
        </w:rPr>
        <w:t xml:space="preserve"> </w:t>
      </w:r>
      <w:r w:rsidRPr="001020DB">
        <w:rPr>
          <w:rFonts w:asciiTheme="majorBidi" w:hAnsiTheme="majorBidi" w:cstheme="majorBidi"/>
          <w:b/>
          <w:bCs/>
          <w:sz w:val="24"/>
          <w:szCs w:val="24"/>
        </w:rPr>
        <w:t xml:space="preserve">Volumes des vides </w:t>
      </w:r>
      <w:r w:rsidRPr="001020DB">
        <w:rPr>
          <w:rFonts w:asciiTheme="majorBidi" w:hAnsiTheme="majorBidi" w:cstheme="majorBidi"/>
          <w:b/>
          <w:bCs/>
          <w:sz w:val="32"/>
          <w:szCs w:val="32"/>
        </w:rPr>
        <w:t>/</w:t>
      </w:r>
      <w:r w:rsidRPr="001020DB">
        <w:rPr>
          <w:rFonts w:asciiTheme="majorBidi" w:hAnsiTheme="majorBidi" w:cstheme="majorBidi"/>
          <w:b/>
          <w:bCs/>
          <w:sz w:val="24"/>
          <w:szCs w:val="24"/>
        </w:rPr>
        <w:t>Volumes total de la roche</w:t>
      </w:r>
    </w:p>
    <w:p w:rsidR="003A6768" w:rsidRPr="001020DB" w:rsidRDefault="003A6768" w:rsidP="007F123D">
      <w:pPr>
        <w:jc w:val="both"/>
        <w:rPr>
          <w:rFonts w:asciiTheme="majorBidi" w:hAnsiTheme="majorBidi" w:cstheme="majorBidi"/>
          <w:sz w:val="24"/>
          <w:szCs w:val="24"/>
        </w:rPr>
      </w:pPr>
      <w:r w:rsidRPr="001020DB">
        <w:rPr>
          <w:rFonts w:asciiTheme="majorBidi" w:hAnsiTheme="majorBidi" w:cstheme="majorBidi"/>
          <w:sz w:val="24"/>
          <w:szCs w:val="24"/>
        </w:rPr>
        <w:t xml:space="preserve">On distingue la porosité primaire et la porosité secondaire. La porosité primaire, formée pendant le dépôt du sédiment, est de type </w:t>
      </w:r>
      <w:r w:rsidR="007F123D" w:rsidRPr="001020DB">
        <w:rPr>
          <w:rFonts w:asciiTheme="majorBidi" w:hAnsiTheme="majorBidi" w:cstheme="majorBidi"/>
          <w:sz w:val="24"/>
          <w:szCs w:val="24"/>
        </w:rPr>
        <w:t>inter granulaire</w:t>
      </w:r>
      <w:r w:rsidRPr="001020DB">
        <w:rPr>
          <w:rFonts w:asciiTheme="majorBidi" w:hAnsiTheme="majorBidi" w:cstheme="majorBidi"/>
          <w:sz w:val="24"/>
          <w:szCs w:val="24"/>
        </w:rPr>
        <w:t>. Son importance dépend du degré de classement des grains et de leur forme. Elle ne dépend pas de leur taille. La porosité primaire que l'on rencontre surtout dans les roches détritiques diminue généralement avec le temps sous l'effet de la cimentation et de la compaction.</w:t>
      </w:r>
    </w:p>
    <w:p w:rsidR="007F123D" w:rsidRPr="001020DB" w:rsidRDefault="00CE7A11" w:rsidP="007F123D">
      <w:pPr>
        <w:jc w:val="both"/>
        <w:rPr>
          <w:rFonts w:asciiTheme="majorBidi" w:hAnsiTheme="majorBidi" w:cstheme="majorBidi"/>
          <w:sz w:val="24"/>
          <w:szCs w:val="24"/>
        </w:rPr>
      </w:pPr>
      <w:r w:rsidRPr="001020DB">
        <w:rPr>
          <w:rFonts w:asciiTheme="majorBidi" w:hAnsiTheme="majorBidi" w:cstheme="majorBidi"/>
          <w:sz w:val="24"/>
          <w:szCs w:val="24"/>
        </w:rPr>
        <w:t xml:space="preserve">La porosité secondaire englobe la porosité vacuolaire acquise par dissolution dans les roches d'origine chimique ou biochimique, la porosité de fracture et la porosité due à l'altération. </w:t>
      </w:r>
    </w:p>
    <w:p w:rsidR="00CE7A11" w:rsidRPr="001020DB" w:rsidRDefault="00CE7A11" w:rsidP="007F123D">
      <w:pPr>
        <w:jc w:val="both"/>
        <w:rPr>
          <w:rFonts w:asciiTheme="majorBidi" w:hAnsiTheme="majorBidi" w:cstheme="majorBidi"/>
          <w:b/>
          <w:bCs/>
          <w:sz w:val="24"/>
          <w:szCs w:val="24"/>
        </w:rPr>
      </w:pPr>
      <w:r w:rsidRPr="001020DB">
        <w:rPr>
          <w:rFonts w:asciiTheme="majorBidi" w:hAnsiTheme="majorBidi" w:cstheme="majorBidi"/>
          <w:b/>
          <w:bCs/>
          <w:sz w:val="24"/>
          <w:szCs w:val="24"/>
        </w:rPr>
        <w:t>La</w:t>
      </w:r>
      <w:r w:rsidR="007F123D" w:rsidRPr="001020DB">
        <w:rPr>
          <w:rFonts w:asciiTheme="majorBidi" w:hAnsiTheme="majorBidi" w:cstheme="majorBidi"/>
          <w:b/>
          <w:bCs/>
          <w:sz w:val="24"/>
          <w:szCs w:val="24"/>
        </w:rPr>
        <w:t xml:space="preserve"> p</w:t>
      </w:r>
      <w:r w:rsidRPr="001020DB">
        <w:rPr>
          <w:rFonts w:asciiTheme="majorBidi" w:hAnsiTheme="majorBidi" w:cstheme="majorBidi"/>
          <w:b/>
          <w:bCs/>
          <w:sz w:val="24"/>
          <w:szCs w:val="24"/>
        </w:rPr>
        <w:t>orosité efficace ou effective</w:t>
      </w:r>
      <w:r w:rsidR="007F123D" w:rsidRPr="001020DB">
        <w:rPr>
          <w:rFonts w:asciiTheme="majorBidi" w:hAnsiTheme="majorBidi" w:cstheme="majorBidi"/>
          <w:b/>
          <w:bCs/>
          <w:sz w:val="24"/>
          <w:szCs w:val="24"/>
        </w:rPr>
        <w:t xml:space="preserve"> φ</w:t>
      </w:r>
      <w:r w:rsidR="007F123D" w:rsidRPr="001020DB">
        <w:rPr>
          <w:rFonts w:asciiTheme="majorBidi" w:hAnsiTheme="majorBidi" w:cstheme="majorBidi"/>
          <w:b/>
          <w:bCs/>
          <w:sz w:val="24"/>
          <w:szCs w:val="24"/>
          <w:vertAlign w:val="subscript"/>
        </w:rPr>
        <w:t>e</w:t>
      </w:r>
      <w:r w:rsidRPr="001020DB">
        <w:rPr>
          <w:rFonts w:asciiTheme="majorBidi" w:hAnsiTheme="majorBidi" w:cstheme="majorBidi"/>
          <w:b/>
          <w:bCs/>
          <w:sz w:val="24"/>
          <w:szCs w:val="24"/>
        </w:rPr>
        <w:t> :</w:t>
      </w:r>
    </w:p>
    <w:p w:rsidR="003A6768" w:rsidRPr="001020DB" w:rsidRDefault="00CE7A11" w:rsidP="007F123D">
      <w:pPr>
        <w:jc w:val="both"/>
        <w:rPr>
          <w:rFonts w:asciiTheme="majorBidi" w:hAnsiTheme="majorBidi" w:cstheme="majorBidi"/>
          <w:sz w:val="24"/>
          <w:szCs w:val="24"/>
        </w:rPr>
      </w:pPr>
      <w:r w:rsidRPr="001020DB">
        <w:rPr>
          <w:rFonts w:asciiTheme="majorBidi" w:hAnsiTheme="majorBidi" w:cstheme="majorBidi"/>
          <w:b/>
          <w:bCs/>
          <w:sz w:val="24"/>
          <w:szCs w:val="24"/>
        </w:rPr>
        <w:t xml:space="preserve"> </w:t>
      </w:r>
      <w:r w:rsidRPr="001020DB">
        <w:rPr>
          <w:rFonts w:asciiTheme="majorBidi" w:hAnsiTheme="majorBidi" w:cstheme="majorBidi"/>
          <w:sz w:val="24"/>
          <w:szCs w:val="24"/>
        </w:rPr>
        <w:t>Les pores, pour permettre le passage d'un fluide, doivent êtres connectés. On définit alors:</w:t>
      </w:r>
    </w:p>
    <w:p w:rsidR="00CE7A11" w:rsidRPr="001020DB" w:rsidRDefault="007F123D" w:rsidP="007F123D">
      <w:pPr>
        <w:jc w:val="center"/>
      </w:pPr>
      <w:r w:rsidRPr="001020DB">
        <w:rPr>
          <w:rFonts w:asciiTheme="majorBidi" w:hAnsiTheme="majorBidi" w:cstheme="majorBidi"/>
          <w:b/>
          <w:bCs/>
          <w:sz w:val="24"/>
          <w:szCs w:val="24"/>
        </w:rPr>
        <w:t>Φ</w:t>
      </w:r>
      <w:r w:rsidRPr="001020DB">
        <w:rPr>
          <w:rFonts w:asciiTheme="majorBidi" w:hAnsiTheme="majorBidi" w:cstheme="majorBidi"/>
          <w:b/>
          <w:bCs/>
          <w:sz w:val="24"/>
          <w:szCs w:val="24"/>
          <w:vertAlign w:val="subscript"/>
        </w:rPr>
        <w:t xml:space="preserve">e </w:t>
      </w:r>
      <w:r w:rsidRPr="001020DB">
        <w:rPr>
          <w:rFonts w:asciiTheme="majorBidi" w:hAnsiTheme="majorBidi" w:cstheme="majorBidi"/>
          <w:b/>
          <w:bCs/>
          <w:sz w:val="24"/>
          <w:szCs w:val="24"/>
        </w:rPr>
        <w:t xml:space="preserve">= Volumes total des vides communicants </w:t>
      </w:r>
      <w:r w:rsidRPr="001020DB">
        <w:rPr>
          <w:rFonts w:asciiTheme="majorBidi" w:hAnsiTheme="majorBidi" w:cstheme="majorBidi"/>
          <w:b/>
          <w:bCs/>
          <w:sz w:val="32"/>
          <w:szCs w:val="32"/>
        </w:rPr>
        <w:t>/</w:t>
      </w:r>
      <w:r w:rsidRPr="001020DB">
        <w:rPr>
          <w:rFonts w:asciiTheme="majorBidi" w:hAnsiTheme="majorBidi" w:cstheme="majorBidi"/>
          <w:b/>
          <w:bCs/>
          <w:sz w:val="24"/>
          <w:szCs w:val="24"/>
        </w:rPr>
        <w:t xml:space="preserve"> volumes total de la roche</w:t>
      </w:r>
    </w:p>
    <w:p w:rsidR="00CE7A11" w:rsidRPr="001020DB" w:rsidRDefault="00CE7A11" w:rsidP="003A6768">
      <w:pPr>
        <w:rPr>
          <w:rFonts w:asciiTheme="majorBidi" w:hAnsiTheme="majorBidi" w:cstheme="majorBidi"/>
          <w:sz w:val="24"/>
          <w:szCs w:val="24"/>
        </w:rPr>
      </w:pPr>
      <w:r w:rsidRPr="001020DB">
        <w:rPr>
          <w:rFonts w:asciiTheme="majorBidi" w:hAnsiTheme="majorBidi" w:cstheme="majorBidi"/>
          <w:sz w:val="24"/>
          <w:szCs w:val="24"/>
        </w:rPr>
        <w:t>Cette porosité effective (ou efficace) peut être très inférieure à la porosité totale lorsque les pores de la roche ne sont pas en communication (pierre ponce) ou que la taille des pores est telle que les fluides ne peuvent pas circuler (silt), ou encore qu'une partie de l'eau est absorbée par les minéraux de la roche (argile).</w:t>
      </w:r>
    </w:p>
    <w:p w:rsidR="004B106F" w:rsidRPr="001020DB" w:rsidRDefault="004B106F" w:rsidP="004B106F">
      <w:pPr>
        <w:pStyle w:val="Default"/>
        <w:rPr>
          <w:rFonts w:asciiTheme="majorBidi" w:hAnsiTheme="majorBidi" w:cstheme="majorBidi"/>
          <w:b/>
          <w:bCs/>
          <w:color w:val="auto"/>
        </w:rPr>
      </w:pPr>
      <w:r w:rsidRPr="001020DB">
        <w:rPr>
          <w:rFonts w:asciiTheme="majorBidi" w:hAnsiTheme="majorBidi" w:cstheme="majorBidi"/>
          <w:b/>
          <w:bCs/>
          <w:i/>
          <w:iCs/>
          <w:color w:val="auto"/>
        </w:rPr>
        <w:t xml:space="preserve">La saturation </w:t>
      </w:r>
    </w:p>
    <w:p w:rsidR="004B106F" w:rsidRPr="001020DB" w:rsidRDefault="004B106F" w:rsidP="004B106F">
      <w:pPr>
        <w:pStyle w:val="Default"/>
        <w:rPr>
          <w:rFonts w:asciiTheme="majorBidi" w:hAnsiTheme="majorBidi" w:cstheme="majorBidi"/>
          <w:color w:val="auto"/>
        </w:rPr>
      </w:pPr>
      <w:r w:rsidRPr="001020DB">
        <w:rPr>
          <w:rFonts w:asciiTheme="majorBidi" w:hAnsiTheme="majorBidi" w:cstheme="majorBidi"/>
          <w:color w:val="auto"/>
        </w:rPr>
        <w:t xml:space="preserve">La saturation en eau </w:t>
      </w:r>
      <w:r w:rsidRPr="001020DB">
        <w:rPr>
          <w:rFonts w:asciiTheme="majorBidi" w:hAnsiTheme="majorBidi" w:cstheme="majorBidi"/>
          <w:i/>
          <w:iCs/>
          <w:color w:val="auto"/>
        </w:rPr>
        <w:t>Sw</w:t>
      </w:r>
      <w:r w:rsidRPr="001020DB">
        <w:rPr>
          <w:rFonts w:asciiTheme="majorBidi" w:hAnsiTheme="majorBidi" w:cstheme="majorBidi"/>
          <w:color w:val="auto"/>
        </w:rPr>
        <w:t>, à savoir :</w:t>
      </w:r>
    </w:p>
    <w:p w:rsidR="004B106F" w:rsidRPr="001020DB" w:rsidRDefault="004B106F" w:rsidP="004B106F">
      <w:pPr>
        <w:pStyle w:val="Default"/>
        <w:rPr>
          <w:rFonts w:asciiTheme="majorBidi" w:hAnsiTheme="majorBidi" w:cstheme="majorBidi"/>
          <w:color w:val="auto"/>
        </w:rPr>
      </w:pPr>
    </w:p>
    <w:p w:rsidR="004B106F" w:rsidRPr="001020DB" w:rsidRDefault="004B106F" w:rsidP="004B106F">
      <w:pPr>
        <w:pStyle w:val="Default"/>
        <w:jc w:val="center"/>
        <w:rPr>
          <w:rFonts w:asciiTheme="majorBidi" w:hAnsiTheme="majorBidi" w:cstheme="majorBidi"/>
          <w:b/>
          <w:bCs/>
          <w:color w:val="auto"/>
        </w:rPr>
      </w:pPr>
      <w:r w:rsidRPr="001020DB">
        <w:rPr>
          <w:rFonts w:asciiTheme="majorBidi" w:hAnsiTheme="majorBidi" w:cstheme="majorBidi"/>
          <w:i/>
          <w:iCs/>
          <w:color w:val="auto"/>
        </w:rPr>
        <w:t xml:space="preserve">Sw </w:t>
      </w:r>
      <w:r w:rsidRPr="001020DB">
        <w:rPr>
          <w:rFonts w:asciiTheme="majorBidi" w:hAnsiTheme="majorBidi" w:cstheme="majorBidi"/>
          <w:b/>
          <w:bCs/>
          <w:color w:val="auto"/>
        </w:rPr>
        <w:t>=Volume des pores remplis d’eau/ Volume total des pores</w:t>
      </w:r>
    </w:p>
    <w:p w:rsidR="004B106F" w:rsidRPr="001020DB" w:rsidRDefault="004B106F" w:rsidP="004B106F">
      <w:pPr>
        <w:pStyle w:val="Default"/>
        <w:jc w:val="center"/>
        <w:rPr>
          <w:rFonts w:asciiTheme="majorBidi" w:hAnsiTheme="majorBidi" w:cstheme="majorBidi"/>
          <w:b/>
          <w:bCs/>
          <w:color w:val="auto"/>
        </w:rPr>
      </w:pPr>
    </w:p>
    <w:p w:rsidR="004B106F" w:rsidRPr="001020DB" w:rsidRDefault="004B106F" w:rsidP="004B106F">
      <w:pPr>
        <w:pStyle w:val="Default"/>
        <w:rPr>
          <w:rFonts w:asciiTheme="majorBidi" w:hAnsiTheme="majorBidi" w:cstheme="majorBidi"/>
          <w:color w:val="auto"/>
        </w:rPr>
      </w:pPr>
      <w:r w:rsidRPr="001020DB">
        <w:rPr>
          <w:rFonts w:asciiTheme="majorBidi" w:hAnsiTheme="majorBidi" w:cstheme="majorBidi"/>
          <w:color w:val="auto"/>
        </w:rPr>
        <w:t xml:space="preserve"> Notez qu’il s’agit de la saturation en eau. Pour un mélange eau + air (roche partiellement saturée) on aura : </w:t>
      </w:r>
      <w:r w:rsidRPr="001020DB">
        <w:rPr>
          <w:rFonts w:asciiTheme="majorBidi" w:hAnsiTheme="majorBidi" w:cstheme="majorBidi"/>
          <w:i/>
          <w:iCs/>
          <w:color w:val="auto"/>
        </w:rPr>
        <w:t>Sw + Sair = 1</w:t>
      </w:r>
    </w:p>
    <w:p w:rsidR="004B106F" w:rsidRPr="001020DB" w:rsidRDefault="004B106F" w:rsidP="004B106F">
      <w:pPr>
        <w:pStyle w:val="Default"/>
        <w:rPr>
          <w:i/>
          <w:iCs/>
          <w:color w:val="auto"/>
          <w:sz w:val="28"/>
          <w:szCs w:val="28"/>
        </w:rPr>
      </w:pPr>
    </w:p>
    <w:p w:rsidR="004B106F" w:rsidRPr="001020DB" w:rsidRDefault="004B106F" w:rsidP="004B106F">
      <w:pPr>
        <w:pStyle w:val="Default"/>
        <w:rPr>
          <w:i/>
          <w:iCs/>
          <w:color w:val="auto"/>
          <w:sz w:val="28"/>
          <w:szCs w:val="28"/>
        </w:rPr>
      </w:pPr>
    </w:p>
    <w:p w:rsidR="004B106F" w:rsidRPr="001020DB" w:rsidRDefault="004B106F" w:rsidP="0094442E">
      <w:pPr>
        <w:pStyle w:val="Default"/>
        <w:jc w:val="both"/>
        <w:rPr>
          <w:rFonts w:asciiTheme="majorBidi" w:hAnsiTheme="majorBidi" w:cstheme="majorBidi"/>
          <w:b/>
          <w:bCs/>
          <w:color w:val="auto"/>
        </w:rPr>
      </w:pPr>
      <w:r w:rsidRPr="001020DB">
        <w:rPr>
          <w:rFonts w:asciiTheme="majorBidi" w:hAnsiTheme="majorBidi" w:cstheme="majorBidi"/>
          <w:b/>
          <w:bCs/>
          <w:i/>
          <w:iCs/>
          <w:color w:val="auto"/>
        </w:rPr>
        <w:t xml:space="preserve">La température </w:t>
      </w:r>
    </w:p>
    <w:p w:rsidR="004B106F" w:rsidRPr="001020DB" w:rsidRDefault="004B106F" w:rsidP="0094442E">
      <w:pPr>
        <w:jc w:val="both"/>
        <w:rPr>
          <w:rFonts w:asciiTheme="majorBidi" w:hAnsiTheme="majorBidi" w:cstheme="majorBidi"/>
          <w:sz w:val="24"/>
          <w:szCs w:val="24"/>
        </w:rPr>
      </w:pPr>
      <w:r w:rsidRPr="001020DB">
        <w:rPr>
          <w:rFonts w:asciiTheme="majorBidi" w:hAnsiTheme="majorBidi" w:cstheme="majorBidi"/>
          <w:sz w:val="24"/>
          <w:szCs w:val="24"/>
        </w:rPr>
        <w:t xml:space="preserve">La résistivité d'un électrolyte dépend aussi de la température. Une augmentation de température diminue la viscosité, la mobilité des ions devient plus grande et la dissociation augmente, ce qui a pour effet de diminuer la résistivité ou inversement d'augmenter la </w:t>
      </w:r>
      <w:r w:rsidRPr="001020DB">
        <w:rPr>
          <w:rFonts w:asciiTheme="majorBidi" w:hAnsiTheme="majorBidi" w:cstheme="majorBidi"/>
          <w:sz w:val="24"/>
          <w:szCs w:val="24"/>
        </w:rPr>
        <w:lastRenderedPageBreak/>
        <w:t xml:space="preserve">conductibilité. On utilise généralement la relation suivante pour évaluer la résistivité d’une roche à une température </w:t>
      </w:r>
      <w:r w:rsidRPr="001020DB">
        <w:rPr>
          <w:rFonts w:asciiTheme="majorBidi" w:hAnsiTheme="majorBidi" w:cstheme="majorBidi"/>
          <w:i/>
          <w:iCs/>
          <w:sz w:val="24"/>
          <w:szCs w:val="24"/>
        </w:rPr>
        <w:t xml:space="preserve">t </w:t>
      </w:r>
      <w:r w:rsidRPr="001020DB">
        <w:rPr>
          <w:rFonts w:asciiTheme="majorBidi" w:hAnsiTheme="majorBidi" w:cstheme="majorBidi"/>
          <w:sz w:val="24"/>
          <w:szCs w:val="24"/>
        </w:rPr>
        <w:t xml:space="preserve">connaissant sa résistivité à 18°C : </w:t>
      </w:r>
    </w:p>
    <w:p w:rsidR="004B106F" w:rsidRPr="001020DB" w:rsidRDefault="004B106F" w:rsidP="0094442E">
      <w:pPr>
        <w:jc w:val="center"/>
        <w:rPr>
          <w:rFonts w:asciiTheme="majorBidi" w:hAnsiTheme="majorBidi" w:cstheme="majorBidi"/>
          <w:b/>
          <w:bCs/>
          <w:sz w:val="28"/>
          <w:szCs w:val="28"/>
        </w:rPr>
      </w:pPr>
      <w:r w:rsidRPr="001020DB">
        <w:rPr>
          <w:rFonts w:asciiTheme="majorBidi" w:hAnsiTheme="majorBidi" w:cstheme="majorBidi"/>
          <w:b/>
          <w:bCs/>
          <w:sz w:val="28"/>
          <w:szCs w:val="28"/>
        </w:rPr>
        <w:t>ρ</w:t>
      </w:r>
      <w:r w:rsidRPr="001020DB">
        <w:rPr>
          <w:rFonts w:asciiTheme="majorBidi" w:hAnsiTheme="majorBidi" w:cstheme="majorBidi"/>
          <w:b/>
          <w:bCs/>
          <w:sz w:val="28"/>
          <w:szCs w:val="28"/>
          <w:vertAlign w:val="subscript"/>
        </w:rPr>
        <w:t>t</w:t>
      </w:r>
      <m:oMath>
        <m:r>
          <m:rPr>
            <m:sty m:val="b"/>
          </m:rPr>
          <w:rPr>
            <w:rFonts w:ascii="Cambria Math" w:hAnsiTheme="majorBidi" w:cstheme="majorBidi"/>
            <w:sz w:val="28"/>
            <w:szCs w:val="28"/>
          </w:rPr>
          <m:t>=</m:t>
        </m:r>
        <m:f>
          <m:fPr>
            <m:ctrlPr>
              <w:rPr>
                <w:rFonts w:ascii="Cambria Math" w:hAnsiTheme="majorBidi" w:cstheme="majorBidi"/>
                <w:b/>
                <w:bCs/>
                <w:sz w:val="28"/>
                <w:szCs w:val="28"/>
              </w:rPr>
            </m:ctrlPr>
          </m:fPr>
          <m:num>
            <m:r>
              <m:rPr>
                <m:sty m:val="b"/>
              </m:rPr>
              <w:rPr>
                <w:rFonts w:ascii="Cambria Math" w:hAnsiTheme="majorBidi" w:cstheme="majorBidi"/>
                <w:sz w:val="28"/>
                <w:szCs w:val="28"/>
              </w:rPr>
              <m:t xml:space="preserve">ρ18 </m:t>
            </m:r>
          </m:num>
          <m:den>
            <m:r>
              <m:rPr>
                <m:sty m:val="b"/>
              </m:rPr>
              <w:rPr>
                <w:rFonts w:ascii="Cambria Math" w:hAnsiTheme="majorBidi" w:cstheme="majorBidi"/>
                <w:sz w:val="28"/>
                <w:szCs w:val="28"/>
              </w:rPr>
              <m:t>1+0,025(t</m:t>
            </m:r>
            <m:r>
              <m:rPr>
                <m:sty m:val="b"/>
              </m:rPr>
              <w:rPr>
                <w:rFonts w:ascii="Cambria Math" w:hAnsi="Cambria Math" w:cstheme="majorBidi"/>
                <w:sz w:val="28"/>
                <w:szCs w:val="28"/>
              </w:rPr>
              <m:t>-</m:t>
            </m:r>
            <m:r>
              <m:rPr>
                <m:sty m:val="b"/>
              </m:rPr>
              <w:rPr>
                <w:rFonts w:ascii="Cambria Math" w:hAnsiTheme="majorBidi" w:cstheme="majorBidi"/>
                <w:sz w:val="28"/>
                <w:szCs w:val="28"/>
              </w:rPr>
              <m:t>18)</m:t>
            </m:r>
          </m:den>
        </m:f>
      </m:oMath>
    </w:p>
    <w:p w:rsidR="004B106F" w:rsidRPr="001020DB" w:rsidRDefault="004B106F" w:rsidP="0094442E">
      <w:pPr>
        <w:jc w:val="both"/>
        <w:rPr>
          <w:rFonts w:asciiTheme="majorBidi" w:hAnsiTheme="majorBidi" w:cstheme="majorBidi"/>
          <w:sz w:val="24"/>
          <w:szCs w:val="24"/>
        </w:rPr>
      </w:pPr>
    </w:p>
    <w:p w:rsidR="00CE7A11" w:rsidRPr="001020DB" w:rsidRDefault="004B106F" w:rsidP="0094442E">
      <w:pPr>
        <w:jc w:val="both"/>
        <w:rPr>
          <w:rFonts w:asciiTheme="majorBidi" w:hAnsiTheme="majorBidi" w:cstheme="majorBidi"/>
          <w:sz w:val="24"/>
          <w:szCs w:val="24"/>
        </w:rPr>
      </w:pPr>
      <w:r w:rsidRPr="001020DB">
        <w:rPr>
          <w:rFonts w:asciiTheme="majorBidi" w:hAnsiTheme="majorBidi" w:cstheme="majorBidi"/>
          <w:sz w:val="24"/>
          <w:szCs w:val="24"/>
        </w:rPr>
        <w:t xml:space="preserve">Le gel augmente beaucoup la résistivité des roches, cependant l'effet est relativement progressif car les sels en solution abaissent le point de congélation de l'électrolyte qui remplit les pores de la roche. Une roche totalement gelée est extrêmement résistante les ions ne pouvant plus se déplacer. Dans les pays de permafrost, il est difficile de mettre en oeuvre les méthodes de résistivités le sol étant infiniment résistant. C’est pour cette raison que c’est principalement dans ces pays qu'ont été développées les méthodes électromagnétiques. </w:t>
      </w:r>
    </w:p>
    <w:p w:rsidR="003A6768" w:rsidRPr="001020DB" w:rsidRDefault="003A6768" w:rsidP="00DC7B7D">
      <w:pPr>
        <w:jc w:val="both"/>
        <w:rPr>
          <w:rFonts w:asciiTheme="majorBidi" w:hAnsiTheme="majorBidi" w:cstheme="majorBidi"/>
          <w:sz w:val="24"/>
          <w:szCs w:val="24"/>
        </w:rPr>
      </w:pPr>
    </w:p>
    <w:p w:rsidR="0094442E" w:rsidRPr="001020DB" w:rsidRDefault="0094442E" w:rsidP="00DC7B7D">
      <w:pPr>
        <w:pStyle w:val="Default"/>
        <w:jc w:val="both"/>
        <w:rPr>
          <w:rFonts w:asciiTheme="majorBidi" w:hAnsiTheme="majorBidi" w:cstheme="majorBidi"/>
          <w:color w:val="auto"/>
          <w:sz w:val="28"/>
          <w:szCs w:val="28"/>
        </w:rPr>
      </w:pPr>
      <w:r w:rsidRPr="001020DB">
        <w:rPr>
          <w:rFonts w:asciiTheme="majorBidi" w:hAnsiTheme="majorBidi" w:cstheme="majorBidi"/>
          <w:b/>
          <w:bCs/>
          <w:color w:val="auto"/>
          <w:sz w:val="28"/>
          <w:szCs w:val="28"/>
        </w:rPr>
        <w:t xml:space="preserve">La loi d'Archie </w:t>
      </w:r>
    </w:p>
    <w:p w:rsidR="002A6015" w:rsidRPr="001020DB" w:rsidRDefault="002A6015" w:rsidP="00DC7B7D">
      <w:pPr>
        <w:pStyle w:val="Default"/>
        <w:jc w:val="both"/>
        <w:rPr>
          <w:rFonts w:asciiTheme="majorBidi" w:hAnsiTheme="majorBidi" w:cstheme="majorBidi"/>
          <w:b/>
          <w:bCs/>
          <w:i/>
          <w:iCs/>
          <w:color w:val="auto"/>
        </w:rPr>
      </w:pPr>
    </w:p>
    <w:p w:rsidR="0094442E" w:rsidRPr="001020DB" w:rsidRDefault="0094442E" w:rsidP="00DC7B7D">
      <w:pPr>
        <w:pStyle w:val="Default"/>
        <w:jc w:val="both"/>
        <w:rPr>
          <w:rFonts w:asciiTheme="majorBidi" w:hAnsiTheme="majorBidi" w:cstheme="majorBidi"/>
          <w:b/>
          <w:bCs/>
          <w:color w:val="auto"/>
        </w:rPr>
      </w:pPr>
      <w:r w:rsidRPr="001020DB">
        <w:rPr>
          <w:rFonts w:asciiTheme="majorBidi" w:hAnsiTheme="majorBidi" w:cstheme="majorBidi"/>
          <w:b/>
          <w:bCs/>
          <w:i/>
          <w:iCs/>
          <w:color w:val="auto"/>
        </w:rPr>
        <w:t xml:space="preserve">Cas d'une roche saturée </w:t>
      </w:r>
    </w:p>
    <w:p w:rsidR="0094442E" w:rsidRPr="001020DB" w:rsidRDefault="0094442E" w:rsidP="00DC7B7D">
      <w:pPr>
        <w:jc w:val="both"/>
        <w:rPr>
          <w:rFonts w:asciiTheme="majorBidi" w:hAnsiTheme="majorBidi" w:cstheme="majorBidi"/>
          <w:sz w:val="24"/>
          <w:szCs w:val="24"/>
        </w:rPr>
      </w:pPr>
      <w:r w:rsidRPr="001020DB">
        <w:rPr>
          <w:rFonts w:asciiTheme="majorBidi" w:hAnsiTheme="majorBidi" w:cstheme="majorBidi"/>
          <w:sz w:val="24"/>
          <w:szCs w:val="24"/>
        </w:rPr>
        <w:t xml:space="preserve">Dans le cas d'une roche saturée, </w:t>
      </w:r>
      <w:r w:rsidRPr="001020DB">
        <w:rPr>
          <w:rFonts w:asciiTheme="majorBidi" w:hAnsiTheme="majorBidi" w:cstheme="majorBidi"/>
          <w:b/>
          <w:bCs/>
          <w:sz w:val="24"/>
          <w:szCs w:val="24"/>
        </w:rPr>
        <w:t xml:space="preserve">Archie </w:t>
      </w:r>
      <w:r w:rsidRPr="001020DB">
        <w:rPr>
          <w:rFonts w:asciiTheme="majorBidi" w:hAnsiTheme="majorBidi" w:cstheme="majorBidi"/>
          <w:sz w:val="24"/>
          <w:szCs w:val="24"/>
        </w:rPr>
        <w:t>(1942) a établi une relation expérimentale liant la résistivité de la roche à la porosité et à la résistivité de l'eau d'imbibition et à son mode de distribution :</w:t>
      </w:r>
    </w:p>
    <w:p w:rsidR="0094442E" w:rsidRPr="001020DB" w:rsidRDefault="00DC7B7D" w:rsidP="00DC7B7D">
      <w:pPr>
        <w:jc w:val="center"/>
        <w:rPr>
          <w:rFonts w:asciiTheme="majorBidi" w:hAnsiTheme="majorBidi" w:cstheme="majorBidi"/>
          <w:b/>
          <w:bCs/>
          <w:sz w:val="28"/>
          <w:szCs w:val="28"/>
          <w:vertAlign w:val="superscript"/>
        </w:rPr>
      </w:pPr>
      <w:r w:rsidRPr="001020DB">
        <w:rPr>
          <w:rFonts w:asciiTheme="majorBidi" w:hAnsiTheme="majorBidi" w:cstheme="majorBidi"/>
          <w:b/>
          <w:bCs/>
          <w:sz w:val="28"/>
          <w:szCs w:val="28"/>
        </w:rPr>
        <w:t>ρ</w:t>
      </w:r>
      <w:r w:rsidR="0094442E" w:rsidRPr="001020DB">
        <w:rPr>
          <w:rFonts w:asciiTheme="majorBidi" w:hAnsiTheme="majorBidi" w:cstheme="majorBidi"/>
          <w:b/>
          <w:bCs/>
          <w:sz w:val="28"/>
          <w:szCs w:val="28"/>
          <w:vertAlign w:val="subscript"/>
        </w:rPr>
        <w:t>r</w:t>
      </w:r>
      <w:r w:rsidR="0094442E" w:rsidRPr="001020DB">
        <w:rPr>
          <w:rFonts w:asciiTheme="majorBidi" w:hAnsiTheme="majorBidi" w:cstheme="majorBidi"/>
          <w:b/>
          <w:bCs/>
          <w:sz w:val="28"/>
          <w:szCs w:val="28"/>
        </w:rPr>
        <w:t xml:space="preserve"> = ρ</w:t>
      </w:r>
      <w:r w:rsidR="0094442E" w:rsidRPr="001020DB">
        <w:rPr>
          <w:rFonts w:asciiTheme="majorBidi" w:hAnsiTheme="majorBidi" w:cstheme="majorBidi"/>
          <w:b/>
          <w:bCs/>
          <w:sz w:val="28"/>
          <w:szCs w:val="28"/>
          <w:vertAlign w:val="subscript"/>
        </w:rPr>
        <w:t xml:space="preserve">w </w:t>
      </w:r>
      <w:r w:rsidR="0094442E" w:rsidRPr="001020DB">
        <w:rPr>
          <w:rFonts w:asciiTheme="majorBidi" w:hAnsiTheme="majorBidi" w:cstheme="majorBidi"/>
          <w:b/>
          <w:bCs/>
          <w:sz w:val="28"/>
          <w:szCs w:val="28"/>
        </w:rPr>
        <w:t>a φ</w:t>
      </w:r>
      <w:r w:rsidR="0094442E" w:rsidRPr="001020DB">
        <w:rPr>
          <w:rFonts w:asciiTheme="majorBidi" w:hAnsiTheme="majorBidi" w:cstheme="majorBidi"/>
          <w:b/>
          <w:bCs/>
          <w:sz w:val="28"/>
          <w:szCs w:val="28"/>
          <w:vertAlign w:val="superscript"/>
        </w:rPr>
        <w:t>-m</w:t>
      </w:r>
    </w:p>
    <w:p w:rsidR="0094442E" w:rsidRPr="001020DB" w:rsidRDefault="0094442E" w:rsidP="00DC7B7D">
      <w:pPr>
        <w:jc w:val="both"/>
        <w:rPr>
          <w:rFonts w:asciiTheme="majorBidi" w:hAnsiTheme="majorBidi" w:cstheme="majorBidi"/>
          <w:sz w:val="24"/>
          <w:szCs w:val="24"/>
        </w:rPr>
      </w:pPr>
      <w:r w:rsidRPr="001020DB">
        <w:rPr>
          <w:rFonts w:asciiTheme="majorBidi" w:hAnsiTheme="majorBidi" w:cstheme="majorBidi"/>
          <w:sz w:val="24"/>
          <w:szCs w:val="24"/>
        </w:rPr>
        <w:t>Avec : ρ</w:t>
      </w:r>
      <w:r w:rsidRPr="001020DB">
        <w:rPr>
          <w:rFonts w:asciiTheme="majorBidi" w:hAnsiTheme="majorBidi" w:cstheme="majorBidi"/>
          <w:sz w:val="24"/>
          <w:szCs w:val="24"/>
          <w:vertAlign w:val="subscript"/>
        </w:rPr>
        <w:t>w</w:t>
      </w:r>
      <w:r w:rsidRPr="001020DB">
        <w:rPr>
          <w:rFonts w:asciiTheme="majorBidi" w:hAnsiTheme="majorBidi" w:cstheme="majorBidi"/>
          <w:sz w:val="24"/>
          <w:szCs w:val="24"/>
        </w:rPr>
        <w:t xml:space="preserve"> = résistivité de l’eau d’imbibition ;</w:t>
      </w:r>
    </w:p>
    <w:p w:rsidR="0094442E" w:rsidRPr="001020DB" w:rsidRDefault="0094442E" w:rsidP="00DC7B7D">
      <w:pPr>
        <w:jc w:val="both"/>
        <w:rPr>
          <w:rFonts w:asciiTheme="majorBidi" w:hAnsiTheme="majorBidi" w:cstheme="majorBidi"/>
          <w:sz w:val="24"/>
          <w:szCs w:val="24"/>
        </w:rPr>
      </w:pPr>
      <w:r w:rsidRPr="001020DB">
        <w:rPr>
          <w:rFonts w:asciiTheme="majorBidi" w:hAnsiTheme="majorBidi" w:cstheme="majorBidi"/>
          <w:sz w:val="24"/>
          <w:szCs w:val="24"/>
        </w:rPr>
        <w:t xml:space="preserve"> φ= porosité ;</w:t>
      </w:r>
    </w:p>
    <w:p w:rsidR="0094442E" w:rsidRPr="001020DB" w:rsidRDefault="0094442E" w:rsidP="00DC7B7D">
      <w:pPr>
        <w:jc w:val="both"/>
        <w:rPr>
          <w:rFonts w:asciiTheme="majorBidi" w:hAnsiTheme="majorBidi" w:cstheme="majorBidi"/>
          <w:sz w:val="24"/>
          <w:szCs w:val="24"/>
        </w:rPr>
      </w:pPr>
      <w:r w:rsidRPr="001020DB">
        <w:rPr>
          <w:rFonts w:asciiTheme="majorBidi" w:hAnsiTheme="majorBidi" w:cstheme="majorBidi"/>
          <w:sz w:val="24"/>
          <w:szCs w:val="24"/>
        </w:rPr>
        <w:t xml:space="preserve"> </w:t>
      </w:r>
      <w:r w:rsidRPr="001020DB">
        <w:rPr>
          <w:rFonts w:asciiTheme="majorBidi" w:hAnsiTheme="majorBidi" w:cstheme="majorBidi"/>
          <w:i/>
          <w:iCs/>
          <w:sz w:val="24"/>
          <w:szCs w:val="24"/>
        </w:rPr>
        <w:t xml:space="preserve">a </w:t>
      </w:r>
      <w:r w:rsidRPr="001020DB">
        <w:rPr>
          <w:rFonts w:asciiTheme="majorBidi" w:hAnsiTheme="majorBidi" w:cstheme="majorBidi"/>
          <w:sz w:val="24"/>
          <w:szCs w:val="24"/>
        </w:rPr>
        <w:t>= facteur qui dépend de la lithologie et qui varie entre 0.6 et 2 (</w:t>
      </w:r>
      <w:r w:rsidRPr="001020DB">
        <w:rPr>
          <w:rFonts w:asciiTheme="majorBidi" w:hAnsiTheme="majorBidi" w:cstheme="majorBidi"/>
          <w:i/>
          <w:iCs/>
          <w:sz w:val="24"/>
          <w:szCs w:val="24"/>
        </w:rPr>
        <w:t xml:space="preserve">a </w:t>
      </w:r>
      <w:r w:rsidRPr="001020DB">
        <w:rPr>
          <w:rFonts w:asciiTheme="majorBidi" w:hAnsiTheme="majorBidi" w:cstheme="majorBidi"/>
          <w:sz w:val="24"/>
          <w:szCs w:val="24"/>
        </w:rPr>
        <w:t xml:space="preserve">&lt; 1 pour les roches à porosité intergranulaire et </w:t>
      </w:r>
      <w:r w:rsidRPr="001020DB">
        <w:rPr>
          <w:rFonts w:asciiTheme="majorBidi" w:hAnsiTheme="majorBidi" w:cstheme="majorBidi"/>
          <w:i/>
          <w:iCs/>
          <w:sz w:val="24"/>
          <w:szCs w:val="24"/>
        </w:rPr>
        <w:t xml:space="preserve">a </w:t>
      </w:r>
      <w:r w:rsidRPr="001020DB">
        <w:rPr>
          <w:rFonts w:asciiTheme="majorBidi" w:hAnsiTheme="majorBidi" w:cstheme="majorBidi"/>
          <w:sz w:val="24"/>
          <w:szCs w:val="24"/>
        </w:rPr>
        <w:t xml:space="preserve">&gt; 1 pour les roches à porosité de fracture) ; </w:t>
      </w:r>
    </w:p>
    <w:p w:rsidR="0094442E" w:rsidRPr="001020DB" w:rsidRDefault="0094442E" w:rsidP="002A6015">
      <w:pPr>
        <w:jc w:val="both"/>
        <w:rPr>
          <w:rFonts w:asciiTheme="majorBidi" w:hAnsiTheme="majorBidi" w:cstheme="majorBidi"/>
          <w:sz w:val="24"/>
          <w:szCs w:val="24"/>
        </w:rPr>
      </w:pPr>
      <w:r w:rsidRPr="001020DB">
        <w:rPr>
          <w:rFonts w:asciiTheme="majorBidi" w:hAnsiTheme="majorBidi" w:cstheme="majorBidi"/>
          <w:i/>
          <w:iCs/>
          <w:sz w:val="24"/>
          <w:szCs w:val="24"/>
        </w:rPr>
        <w:t xml:space="preserve">m </w:t>
      </w:r>
      <w:r w:rsidRPr="001020DB">
        <w:rPr>
          <w:rFonts w:asciiTheme="majorBidi" w:hAnsiTheme="majorBidi" w:cstheme="majorBidi"/>
          <w:sz w:val="24"/>
          <w:szCs w:val="24"/>
        </w:rPr>
        <w:t>= facteur de cimentation (dépend de la forme des pores, de la compaction et varie entre 1,3 pour les sables non consolidés à 2,2 pour les calcaires cimentés).</w:t>
      </w:r>
    </w:p>
    <w:p w:rsidR="0094442E" w:rsidRPr="001020DB" w:rsidRDefault="0094442E" w:rsidP="002A6015">
      <w:pPr>
        <w:jc w:val="both"/>
        <w:rPr>
          <w:rFonts w:asciiTheme="majorBidi" w:hAnsiTheme="majorBidi" w:cstheme="majorBidi"/>
          <w:sz w:val="24"/>
          <w:szCs w:val="24"/>
          <w:vertAlign w:val="superscript"/>
        </w:rPr>
      </w:pPr>
      <w:r w:rsidRPr="001020DB">
        <w:rPr>
          <w:rFonts w:asciiTheme="majorBidi" w:hAnsiTheme="majorBidi" w:cstheme="majorBidi"/>
          <w:sz w:val="24"/>
          <w:szCs w:val="24"/>
        </w:rPr>
        <w:t xml:space="preserve"> On a l'habitude de regrouper sous le terme de </w:t>
      </w:r>
      <w:r w:rsidRPr="001020DB">
        <w:rPr>
          <w:rFonts w:asciiTheme="majorBidi" w:hAnsiTheme="majorBidi" w:cstheme="majorBidi"/>
          <w:b/>
          <w:bCs/>
          <w:sz w:val="24"/>
          <w:szCs w:val="24"/>
        </w:rPr>
        <w:t xml:space="preserve">facteur de formation </w:t>
      </w:r>
      <w:r w:rsidRPr="001020DB">
        <w:rPr>
          <w:rFonts w:asciiTheme="majorBidi" w:hAnsiTheme="majorBidi" w:cstheme="majorBidi"/>
          <w:sz w:val="24"/>
          <w:szCs w:val="24"/>
        </w:rPr>
        <w:t>F = a φ</w:t>
      </w:r>
      <w:r w:rsidRPr="001020DB">
        <w:rPr>
          <w:rFonts w:asciiTheme="majorBidi" w:hAnsiTheme="majorBidi" w:cstheme="majorBidi"/>
          <w:sz w:val="24"/>
          <w:szCs w:val="24"/>
          <w:vertAlign w:val="superscript"/>
        </w:rPr>
        <w:t>-m</w:t>
      </w:r>
      <w:r w:rsidRPr="001020DB">
        <w:rPr>
          <w:rFonts w:asciiTheme="majorBidi" w:hAnsiTheme="majorBidi" w:cstheme="majorBidi"/>
          <w:sz w:val="24"/>
          <w:szCs w:val="24"/>
        </w:rPr>
        <w:t>.</w:t>
      </w:r>
    </w:p>
    <w:p w:rsidR="00DC7B7D" w:rsidRPr="001020DB" w:rsidRDefault="00CC5128" w:rsidP="002A6015">
      <w:pPr>
        <w:jc w:val="both"/>
        <w:rPr>
          <w:rFonts w:asciiTheme="majorBidi" w:hAnsiTheme="majorBidi" w:cstheme="majorBidi"/>
          <w:sz w:val="24"/>
          <w:szCs w:val="24"/>
          <w:vertAlign w:val="superscript"/>
        </w:rPr>
      </w:pPr>
      <w:r w:rsidRPr="001020DB">
        <w:rPr>
          <w:rFonts w:asciiTheme="majorBidi" w:hAnsiTheme="majorBidi" w:cstheme="majorBidi"/>
          <w:sz w:val="24"/>
          <w:szCs w:val="24"/>
        </w:rPr>
        <w:t xml:space="preserve">Les paramètres </w:t>
      </w:r>
      <w:r w:rsidRPr="001020DB">
        <w:rPr>
          <w:rFonts w:asciiTheme="majorBidi" w:hAnsiTheme="majorBidi" w:cstheme="majorBidi"/>
          <w:i/>
          <w:iCs/>
          <w:sz w:val="24"/>
          <w:szCs w:val="24"/>
        </w:rPr>
        <w:t xml:space="preserve">a </w:t>
      </w:r>
      <w:r w:rsidRPr="001020DB">
        <w:rPr>
          <w:rFonts w:asciiTheme="majorBidi" w:hAnsiTheme="majorBidi" w:cstheme="majorBidi"/>
          <w:sz w:val="24"/>
          <w:szCs w:val="24"/>
        </w:rPr>
        <w:t xml:space="preserve">et </w:t>
      </w:r>
      <w:r w:rsidRPr="001020DB">
        <w:rPr>
          <w:rFonts w:asciiTheme="majorBidi" w:hAnsiTheme="majorBidi" w:cstheme="majorBidi"/>
          <w:i/>
          <w:iCs/>
          <w:sz w:val="24"/>
          <w:szCs w:val="24"/>
        </w:rPr>
        <w:t xml:space="preserve">m </w:t>
      </w:r>
      <w:r w:rsidRPr="001020DB">
        <w:rPr>
          <w:rFonts w:asciiTheme="majorBidi" w:hAnsiTheme="majorBidi" w:cstheme="majorBidi"/>
          <w:sz w:val="24"/>
          <w:szCs w:val="24"/>
        </w:rPr>
        <w:t xml:space="preserve">peuvent être définis précisément en laboratoire. Dans la pratique on admet pour les formations </w:t>
      </w:r>
      <w:r w:rsidRPr="001020DB">
        <w:rPr>
          <w:rFonts w:asciiTheme="majorBidi" w:hAnsiTheme="majorBidi" w:cstheme="majorBidi"/>
          <w:b/>
          <w:bCs/>
          <w:sz w:val="24"/>
          <w:szCs w:val="24"/>
        </w:rPr>
        <w:t>meubles, sables et grès</w:t>
      </w:r>
      <w:r w:rsidRPr="001020DB">
        <w:rPr>
          <w:rFonts w:asciiTheme="majorBidi" w:hAnsiTheme="majorBidi" w:cstheme="majorBidi"/>
          <w:sz w:val="24"/>
          <w:szCs w:val="24"/>
        </w:rPr>
        <w:t xml:space="preserve">, la relation suivante : F = 0,62 </w:t>
      </w:r>
      <w:r w:rsidR="00DC7B7D" w:rsidRPr="001020DB">
        <w:rPr>
          <w:rFonts w:asciiTheme="majorBidi" w:hAnsiTheme="majorBidi" w:cstheme="majorBidi"/>
          <w:sz w:val="24"/>
          <w:szCs w:val="24"/>
        </w:rPr>
        <w:t>φ</w:t>
      </w:r>
      <w:r w:rsidRPr="001020DB">
        <w:rPr>
          <w:rFonts w:asciiTheme="majorBidi" w:hAnsiTheme="majorBidi" w:cstheme="majorBidi"/>
          <w:sz w:val="24"/>
          <w:szCs w:val="24"/>
          <w:vertAlign w:val="superscript"/>
        </w:rPr>
        <w:t>-2,15</w:t>
      </w:r>
      <w:r w:rsidRPr="001020DB">
        <w:rPr>
          <w:rFonts w:asciiTheme="majorBidi" w:hAnsiTheme="majorBidi" w:cstheme="majorBidi"/>
          <w:sz w:val="24"/>
          <w:szCs w:val="24"/>
        </w:rPr>
        <w:t xml:space="preserve"> et pour les </w:t>
      </w:r>
      <w:r w:rsidRPr="001020DB">
        <w:rPr>
          <w:rFonts w:asciiTheme="majorBidi" w:hAnsiTheme="majorBidi" w:cstheme="majorBidi"/>
          <w:b/>
          <w:bCs/>
          <w:sz w:val="24"/>
          <w:szCs w:val="24"/>
        </w:rPr>
        <w:t>roches bien cimentées</w:t>
      </w:r>
      <w:r w:rsidRPr="001020DB">
        <w:rPr>
          <w:rFonts w:asciiTheme="majorBidi" w:hAnsiTheme="majorBidi" w:cstheme="majorBidi"/>
          <w:sz w:val="24"/>
          <w:szCs w:val="24"/>
        </w:rPr>
        <w:t xml:space="preserve">: F = 1 </w:t>
      </w:r>
      <w:r w:rsidR="00DC7B7D" w:rsidRPr="001020DB">
        <w:rPr>
          <w:rFonts w:asciiTheme="majorBidi" w:hAnsiTheme="majorBidi" w:cstheme="majorBidi"/>
          <w:sz w:val="24"/>
          <w:szCs w:val="24"/>
        </w:rPr>
        <w:t>φ</w:t>
      </w:r>
      <w:r w:rsidRPr="001020DB">
        <w:rPr>
          <w:rFonts w:asciiTheme="majorBidi" w:hAnsiTheme="majorBidi" w:cstheme="majorBidi"/>
          <w:sz w:val="24"/>
          <w:szCs w:val="24"/>
          <w:vertAlign w:val="superscript"/>
        </w:rPr>
        <w:t>-2</w:t>
      </w:r>
    </w:p>
    <w:p w:rsidR="00DC7B7D" w:rsidRPr="001020DB" w:rsidRDefault="00CC5128" w:rsidP="002A6015">
      <w:pPr>
        <w:jc w:val="both"/>
        <w:rPr>
          <w:rFonts w:asciiTheme="majorBidi" w:hAnsiTheme="majorBidi" w:cstheme="majorBidi"/>
          <w:sz w:val="24"/>
          <w:szCs w:val="24"/>
        </w:rPr>
      </w:pPr>
      <w:r w:rsidRPr="001020DB">
        <w:rPr>
          <w:rFonts w:asciiTheme="majorBidi" w:hAnsiTheme="majorBidi" w:cstheme="majorBidi"/>
          <w:sz w:val="24"/>
          <w:szCs w:val="24"/>
        </w:rPr>
        <w:t xml:space="preserve"> En définitive nous obtenons pour la loi d'Archie en roche saturée:</w:t>
      </w:r>
    </w:p>
    <w:p w:rsidR="00DC7B7D" w:rsidRPr="001020DB" w:rsidRDefault="00DC7B7D" w:rsidP="002A6015">
      <w:pPr>
        <w:jc w:val="center"/>
        <w:rPr>
          <w:rFonts w:asciiTheme="majorBidi" w:hAnsiTheme="majorBidi" w:cstheme="majorBidi"/>
          <w:b/>
          <w:bCs/>
          <w:sz w:val="24"/>
          <w:szCs w:val="24"/>
          <w:vertAlign w:val="superscript"/>
        </w:rPr>
      </w:pPr>
      <w:r w:rsidRPr="001020DB">
        <w:rPr>
          <w:rFonts w:asciiTheme="majorBidi" w:hAnsiTheme="majorBidi" w:cstheme="majorBidi"/>
          <w:b/>
          <w:bCs/>
          <w:sz w:val="24"/>
          <w:szCs w:val="24"/>
        </w:rPr>
        <w:t>ρ</w:t>
      </w:r>
      <w:r w:rsidRPr="001020DB">
        <w:rPr>
          <w:rFonts w:asciiTheme="majorBidi" w:hAnsiTheme="majorBidi" w:cstheme="majorBidi"/>
          <w:b/>
          <w:bCs/>
          <w:sz w:val="24"/>
          <w:szCs w:val="24"/>
          <w:vertAlign w:val="subscript"/>
        </w:rPr>
        <w:t>r</w:t>
      </w:r>
      <w:r w:rsidRPr="001020DB">
        <w:rPr>
          <w:rFonts w:asciiTheme="majorBidi" w:hAnsiTheme="majorBidi" w:cstheme="majorBidi"/>
          <w:b/>
          <w:bCs/>
          <w:sz w:val="24"/>
          <w:szCs w:val="24"/>
        </w:rPr>
        <w:t xml:space="preserve"> = F ρ</w:t>
      </w:r>
      <w:r w:rsidRPr="001020DB">
        <w:rPr>
          <w:rFonts w:asciiTheme="majorBidi" w:hAnsiTheme="majorBidi" w:cstheme="majorBidi"/>
          <w:b/>
          <w:bCs/>
          <w:sz w:val="24"/>
          <w:szCs w:val="24"/>
          <w:vertAlign w:val="subscript"/>
        </w:rPr>
        <w:t>w</w:t>
      </w:r>
    </w:p>
    <w:p w:rsidR="002A6015" w:rsidRPr="001020DB" w:rsidRDefault="002A6015" w:rsidP="002A6015">
      <w:pPr>
        <w:pStyle w:val="Default"/>
        <w:jc w:val="both"/>
        <w:rPr>
          <w:rFonts w:asciiTheme="majorBidi" w:hAnsiTheme="majorBidi" w:cstheme="majorBidi"/>
          <w:i/>
          <w:iCs/>
          <w:color w:val="auto"/>
        </w:rPr>
      </w:pPr>
    </w:p>
    <w:p w:rsidR="002A6015" w:rsidRPr="001020DB" w:rsidRDefault="002A6015" w:rsidP="002A6015">
      <w:pPr>
        <w:pStyle w:val="Default"/>
        <w:jc w:val="both"/>
        <w:rPr>
          <w:rFonts w:asciiTheme="majorBidi" w:hAnsiTheme="majorBidi" w:cstheme="majorBidi"/>
          <w:b/>
          <w:bCs/>
          <w:color w:val="auto"/>
        </w:rPr>
      </w:pPr>
      <w:r w:rsidRPr="001020DB">
        <w:rPr>
          <w:rFonts w:asciiTheme="majorBidi" w:hAnsiTheme="majorBidi" w:cstheme="majorBidi"/>
          <w:b/>
          <w:bCs/>
          <w:i/>
          <w:iCs/>
          <w:color w:val="auto"/>
        </w:rPr>
        <w:t xml:space="preserve">Cas d’une roche partiellement saturée en eau </w:t>
      </w:r>
    </w:p>
    <w:p w:rsidR="0094442E" w:rsidRPr="001020DB" w:rsidRDefault="002A6015" w:rsidP="002A6015">
      <w:pPr>
        <w:tabs>
          <w:tab w:val="left" w:pos="1050"/>
        </w:tabs>
        <w:jc w:val="both"/>
        <w:rPr>
          <w:rFonts w:asciiTheme="majorBidi" w:hAnsiTheme="majorBidi" w:cstheme="majorBidi"/>
          <w:sz w:val="24"/>
          <w:szCs w:val="24"/>
        </w:rPr>
      </w:pPr>
      <w:r w:rsidRPr="001020DB">
        <w:rPr>
          <w:rFonts w:asciiTheme="majorBidi" w:hAnsiTheme="majorBidi" w:cstheme="majorBidi"/>
          <w:sz w:val="24"/>
          <w:szCs w:val="24"/>
        </w:rPr>
        <w:t>La loi d'Archie a été établie pour des roches saturées en eau, il faut maintenant tenir compte d'une désaturation possible. La loi d'Archie devient alors :</w:t>
      </w:r>
    </w:p>
    <w:p w:rsidR="002A6015" w:rsidRPr="001020DB" w:rsidRDefault="002A6015" w:rsidP="002A6015">
      <w:pPr>
        <w:jc w:val="center"/>
        <w:rPr>
          <w:rFonts w:asciiTheme="majorBidi" w:hAnsiTheme="majorBidi" w:cstheme="majorBidi"/>
          <w:b/>
          <w:bCs/>
          <w:sz w:val="28"/>
          <w:szCs w:val="28"/>
        </w:rPr>
      </w:pPr>
      <w:r w:rsidRPr="001020DB">
        <w:rPr>
          <w:rFonts w:asciiTheme="majorBidi" w:hAnsiTheme="majorBidi" w:cstheme="majorBidi"/>
          <w:b/>
          <w:bCs/>
          <w:sz w:val="28"/>
          <w:szCs w:val="28"/>
        </w:rPr>
        <w:lastRenderedPageBreak/>
        <w:t>ρ</w:t>
      </w:r>
      <w:r w:rsidRPr="001020DB">
        <w:rPr>
          <w:rFonts w:asciiTheme="majorBidi" w:hAnsiTheme="majorBidi" w:cstheme="majorBidi"/>
          <w:b/>
          <w:bCs/>
          <w:sz w:val="28"/>
          <w:szCs w:val="28"/>
          <w:vertAlign w:val="subscript"/>
        </w:rPr>
        <w:t>r</w:t>
      </w:r>
      <w:r w:rsidRPr="001020DB">
        <w:rPr>
          <w:rFonts w:asciiTheme="majorBidi" w:hAnsiTheme="majorBidi" w:cstheme="majorBidi"/>
          <w:b/>
          <w:bCs/>
          <w:sz w:val="28"/>
          <w:szCs w:val="28"/>
        </w:rPr>
        <w:t xml:space="preserve"> = F ρ</w:t>
      </w:r>
      <w:r w:rsidRPr="001020DB">
        <w:rPr>
          <w:rFonts w:asciiTheme="majorBidi" w:hAnsiTheme="majorBidi" w:cstheme="majorBidi"/>
          <w:b/>
          <w:bCs/>
          <w:sz w:val="28"/>
          <w:szCs w:val="28"/>
          <w:vertAlign w:val="subscript"/>
        </w:rPr>
        <w:t xml:space="preserve">w </w:t>
      </w:r>
      <w:r w:rsidRPr="001020DB">
        <w:rPr>
          <w:rFonts w:asciiTheme="majorBidi" w:hAnsiTheme="majorBidi" w:cstheme="majorBidi"/>
          <w:b/>
          <w:bCs/>
          <w:sz w:val="28"/>
          <w:szCs w:val="28"/>
        </w:rPr>
        <w:t>S</w:t>
      </w:r>
      <w:r w:rsidRPr="001020DB">
        <w:rPr>
          <w:rFonts w:asciiTheme="majorBidi" w:hAnsiTheme="majorBidi" w:cstheme="majorBidi"/>
          <w:b/>
          <w:bCs/>
          <w:sz w:val="28"/>
          <w:szCs w:val="28"/>
          <w:vertAlign w:val="subscript"/>
        </w:rPr>
        <w:t>w</w:t>
      </w:r>
      <w:r w:rsidRPr="001020DB">
        <w:rPr>
          <w:rFonts w:asciiTheme="majorBidi" w:hAnsiTheme="majorBidi" w:cstheme="majorBidi"/>
          <w:b/>
          <w:bCs/>
          <w:sz w:val="28"/>
          <w:szCs w:val="28"/>
          <w:vertAlign w:val="superscript"/>
        </w:rPr>
        <w:t>-n</w:t>
      </w:r>
    </w:p>
    <w:p w:rsidR="002A6015" w:rsidRPr="001020DB" w:rsidRDefault="002A6015" w:rsidP="002A6015">
      <w:pPr>
        <w:pStyle w:val="Default"/>
        <w:jc w:val="both"/>
        <w:rPr>
          <w:rFonts w:asciiTheme="majorBidi" w:hAnsiTheme="majorBidi" w:cstheme="majorBidi"/>
          <w:color w:val="auto"/>
        </w:rPr>
      </w:pPr>
      <w:r w:rsidRPr="001020DB">
        <w:rPr>
          <w:rFonts w:asciiTheme="majorBidi" w:hAnsiTheme="majorBidi" w:cstheme="majorBidi"/>
          <w:color w:val="auto"/>
        </w:rPr>
        <w:t xml:space="preserve">Avec : </w:t>
      </w:r>
      <w:r w:rsidRPr="001020DB">
        <w:rPr>
          <w:rFonts w:asciiTheme="majorBidi" w:hAnsiTheme="majorBidi" w:cstheme="majorBidi"/>
          <w:i/>
          <w:iCs/>
          <w:color w:val="auto"/>
        </w:rPr>
        <w:t xml:space="preserve">F </w:t>
      </w:r>
      <w:r w:rsidRPr="001020DB">
        <w:rPr>
          <w:rFonts w:asciiTheme="majorBidi" w:hAnsiTheme="majorBidi" w:cstheme="majorBidi"/>
          <w:color w:val="auto"/>
        </w:rPr>
        <w:t>= facteur de formation, ρ</w:t>
      </w:r>
      <w:r w:rsidRPr="001020DB">
        <w:rPr>
          <w:rFonts w:asciiTheme="majorBidi" w:hAnsiTheme="majorBidi" w:cstheme="majorBidi"/>
          <w:i/>
          <w:iCs/>
          <w:color w:val="auto"/>
        </w:rPr>
        <w:t xml:space="preserve">w </w:t>
      </w:r>
      <w:r w:rsidRPr="001020DB">
        <w:rPr>
          <w:rFonts w:asciiTheme="majorBidi" w:hAnsiTheme="majorBidi" w:cstheme="majorBidi"/>
          <w:color w:val="auto"/>
        </w:rPr>
        <w:t>= résistivité de l’eau d’imbibition, ρ</w:t>
      </w:r>
      <w:r w:rsidRPr="001020DB">
        <w:rPr>
          <w:rFonts w:asciiTheme="majorBidi" w:hAnsiTheme="majorBidi" w:cstheme="majorBidi"/>
          <w:i/>
          <w:iCs/>
          <w:color w:val="auto"/>
        </w:rPr>
        <w:t xml:space="preserve">r </w:t>
      </w:r>
      <w:r w:rsidRPr="001020DB">
        <w:rPr>
          <w:rFonts w:asciiTheme="majorBidi" w:hAnsiTheme="majorBidi" w:cstheme="majorBidi"/>
          <w:color w:val="auto"/>
        </w:rPr>
        <w:t xml:space="preserve">= résistivité de la roche partiellement saturée en eau. </w:t>
      </w:r>
    </w:p>
    <w:p w:rsidR="002A6015" w:rsidRPr="001020DB" w:rsidRDefault="002A6015" w:rsidP="002A6015">
      <w:pPr>
        <w:pStyle w:val="Default"/>
        <w:jc w:val="both"/>
        <w:rPr>
          <w:rFonts w:asciiTheme="majorBidi" w:hAnsiTheme="majorBidi" w:cstheme="majorBidi"/>
          <w:color w:val="auto"/>
        </w:rPr>
      </w:pPr>
      <w:r w:rsidRPr="001020DB">
        <w:rPr>
          <w:rFonts w:asciiTheme="majorBidi" w:hAnsiTheme="majorBidi" w:cstheme="majorBidi"/>
          <w:color w:val="auto"/>
        </w:rPr>
        <w:t xml:space="preserve">L’exposant </w:t>
      </w:r>
      <w:r w:rsidRPr="001020DB">
        <w:rPr>
          <w:rFonts w:asciiTheme="majorBidi" w:hAnsiTheme="majorBidi" w:cstheme="majorBidi"/>
          <w:i/>
          <w:iCs/>
          <w:color w:val="auto"/>
        </w:rPr>
        <w:t xml:space="preserve">n </w:t>
      </w:r>
      <w:r w:rsidRPr="001020DB">
        <w:rPr>
          <w:rFonts w:asciiTheme="majorBidi" w:hAnsiTheme="majorBidi" w:cstheme="majorBidi"/>
          <w:color w:val="auto"/>
        </w:rPr>
        <w:t xml:space="preserve">varie très peu avec les formations, sa valeur est environ de 2 pour la plupart des formations de porosité normale dont la teneur en eau est comprise en 20 et 100 %. </w:t>
      </w:r>
    </w:p>
    <w:p w:rsidR="002A6015" w:rsidRPr="001020DB" w:rsidRDefault="002A6015" w:rsidP="002A6015">
      <w:pPr>
        <w:jc w:val="both"/>
        <w:rPr>
          <w:rFonts w:asciiTheme="majorBidi" w:hAnsiTheme="majorBidi" w:cstheme="majorBidi"/>
          <w:b/>
          <w:bCs/>
          <w:sz w:val="24"/>
          <w:szCs w:val="24"/>
          <w:vertAlign w:val="superscript"/>
        </w:rPr>
      </w:pPr>
      <w:r w:rsidRPr="001020DB">
        <w:rPr>
          <w:rFonts w:asciiTheme="majorBidi" w:hAnsiTheme="majorBidi" w:cstheme="majorBidi"/>
          <w:sz w:val="24"/>
          <w:szCs w:val="24"/>
        </w:rPr>
        <w:t>D'une manière générale, la désaturation augmente la résistivité. Dans certains cas très particuliers, l'effet de la désaturation peut être inverse. En effet, l'évaporation peut parfois charger en sels la zone déshydratée, qui devient plus conductrice que la zone saturée de par sa grande concentration en sels.</w:t>
      </w:r>
    </w:p>
    <w:p w:rsidR="002A6015" w:rsidRPr="001020DB" w:rsidRDefault="002A6015" w:rsidP="002A6015">
      <w:pPr>
        <w:tabs>
          <w:tab w:val="left" w:pos="1050"/>
        </w:tabs>
        <w:rPr>
          <w:rFonts w:asciiTheme="majorBidi" w:hAnsiTheme="majorBidi" w:cstheme="majorBidi"/>
          <w:sz w:val="24"/>
          <w:szCs w:val="24"/>
        </w:rPr>
      </w:pPr>
    </w:p>
    <w:sectPr w:rsidR="002A6015" w:rsidRPr="001020DB" w:rsidSect="00F17048">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D7E" w:rsidRDefault="000F3D7E" w:rsidP="007A5697">
      <w:pPr>
        <w:spacing w:before="0" w:after="0"/>
      </w:pPr>
      <w:r>
        <w:separator/>
      </w:r>
    </w:p>
  </w:endnote>
  <w:endnote w:type="continuationSeparator" w:id="1">
    <w:p w:rsidR="000F3D7E" w:rsidRDefault="000F3D7E" w:rsidP="007A569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155"/>
      <w:docPartObj>
        <w:docPartGallery w:val="Page Numbers (Bottom of Page)"/>
        <w:docPartUnique/>
      </w:docPartObj>
    </w:sdtPr>
    <w:sdtContent>
      <w:p w:rsidR="001159A7" w:rsidRDefault="00AB766A">
        <w:pPr>
          <w:pStyle w:val="Pieddepage"/>
          <w:jc w:val="center"/>
        </w:pPr>
        <w:fldSimple w:instr=" PAGE   \* MERGEFORMAT ">
          <w:r w:rsidR="001020DB">
            <w:rPr>
              <w:noProof/>
            </w:rPr>
            <w:t>7</w:t>
          </w:r>
        </w:fldSimple>
      </w:p>
    </w:sdtContent>
  </w:sdt>
  <w:p w:rsidR="001159A7" w:rsidRDefault="001159A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D7E" w:rsidRDefault="000F3D7E" w:rsidP="007A5697">
      <w:pPr>
        <w:spacing w:before="0" w:after="0"/>
      </w:pPr>
      <w:r>
        <w:separator/>
      </w:r>
    </w:p>
  </w:footnote>
  <w:footnote w:type="continuationSeparator" w:id="1">
    <w:p w:rsidR="000F3D7E" w:rsidRDefault="000F3D7E" w:rsidP="007A5697">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47E01"/>
    <w:multiLevelType w:val="hybridMultilevel"/>
    <w:tmpl w:val="8EACD1E0"/>
    <w:lvl w:ilvl="0" w:tplc="015A171E">
      <w:start w:val="1"/>
      <w:numFmt w:val="bullet"/>
      <w:lvlText w:val="•"/>
      <w:lvlJc w:val="left"/>
      <w:pPr>
        <w:tabs>
          <w:tab w:val="num" w:pos="720"/>
        </w:tabs>
        <w:ind w:left="720" w:hanging="360"/>
      </w:pPr>
      <w:rPr>
        <w:rFonts w:ascii="Times New Roman" w:hAnsi="Times New Roman" w:hint="default"/>
      </w:rPr>
    </w:lvl>
    <w:lvl w:ilvl="1" w:tplc="4BC681BC" w:tentative="1">
      <w:start w:val="1"/>
      <w:numFmt w:val="bullet"/>
      <w:lvlText w:val="•"/>
      <w:lvlJc w:val="left"/>
      <w:pPr>
        <w:tabs>
          <w:tab w:val="num" w:pos="1440"/>
        </w:tabs>
        <w:ind w:left="1440" w:hanging="360"/>
      </w:pPr>
      <w:rPr>
        <w:rFonts w:ascii="Times New Roman" w:hAnsi="Times New Roman" w:hint="default"/>
      </w:rPr>
    </w:lvl>
    <w:lvl w:ilvl="2" w:tplc="7A407DD0" w:tentative="1">
      <w:start w:val="1"/>
      <w:numFmt w:val="bullet"/>
      <w:lvlText w:val="•"/>
      <w:lvlJc w:val="left"/>
      <w:pPr>
        <w:tabs>
          <w:tab w:val="num" w:pos="2160"/>
        </w:tabs>
        <w:ind w:left="2160" w:hanging="360"/>
      </w:pPr>
      <w:rPr>
        <w:rFonts w:ascii="Times New Roman" w:hAnsi="Times New Roman" w:hint="default"/>
      </w:rPr>
    </w:lvl>
    <w:lvl w:ilvl="3" w:tplc="2AC06958" w:tentative="1">
      <w:start w:val="1"/>
      <w:numFmt w:val="bullet"/>
      <w:lvlText w:val="•"/>
      <w:lvlJc w:val="left"/>
      <w:pPr>
        <w:tabs>
          <w:tab w:val="num" w:pos="2880"/>
        </w:tabs>
        <w:ind w:left="2880" w:hanging="360"/>
      </w:pPr>
      <w:rPr>
        <w:rFonts w:ascii="Times New Roman" w:hAnsi="Times New Roman" w:hint="default"/>
      </w:rPr>
    </w:lvl>
    <w:lvl w:ilvl="4" w:tplc="CDA8458A" w:tentative="1">
      <w:start w:val="1"/>
      <w:numFmt w:val="bullet"/>
      <w:lvlText w:val="•"/>
      <w:lvlJc w:val="left"/>
      <w:pPr>
        <w:tabs>
          <w:tab w:val="num" w:pos="3600"/>
        </w:tabs>
        <w:ind w:left="3600" w:hanging="360"/>
      </w:pPr>
      <w:rPr>
        <w:rFonts w:ascii="Times New Roman" w:hAnsi="Times New Roman" w:hint="default"/>
      </w:rPr>
    </w:lvl>
    <w:lvl w:ilvl="5" w:tplc="2200E4A2" w:tentative="1">
      <w:start w:val="1"/>
      <w:numFmt w:val="bullet"/>
      <w:lvlText w:val="•"/>
      <w:lvlJc w:val="left"/>
      <w:pPr>
        <w:tabs>
          <w:tab w:val="num" w:pos="4320"/>
        </w:tabs>
        <w:ind w:left="4320" w:hanging="360"/>
      </w:pPr>
      <w:rPr>
        <w:rFonts w:ascii="Times New Roman" w:hAnsi="Times New Roman" w:hint="default"/>
      </w:rPr>
    </w:lvl>
    <w:lvl w:ilvl="6" w:tplc="C4A4534C" w:tentative="1">
      <w:start w:val="1"/>
      <w:numFmt w:val="bullet"/>
      <w:lvlText w:val="•"/>
      <w:lvlJc w:val="left"/>
      <w:pPr>
        <w:tabs>
          <w:tab w:val="num" w:pos="5040"/>
        </w:tabs>
        <w:ind w:left="5040" w:hanging="360"/>
      </w:pPr>
      <w:rPr>
        <w:rFonts w:ascii="Times New Roman" w:hAnsi="Times New Roman" w:hint="default"/>
      </w:rPr>
    </w:lvl>
    <w:lvl w:ilvl="7" w:tplc="F274E6D2" w:tentative="1">
      <w:start w:val="1"/>
      <w:numFmt w:val="bullet"/>
      <w:lvlText w:val="•"/>
      <w:lvlJc w:val="left"/>
      <w:pPr>
        <w:tabs>
          <w:tab w:val="num" w:pos="5760"/>
        </w:tabs>
        <w:ind w:left="5760" w:hanging="360"/>
      </w:pPr>
      <w:rPr>
        <w:rFonts w:ascii="Times New Roman" w:hAnsi="Times New Roman" w:hint="default"/>
      </w:rPr>
    </w:lvl>
    <w:lvl w:ilvl="8" w:tplc="B44C59EC" w:tentative="1">
      <w:start w:val="1"/>
      <w:numFmt w:val="bullet"/>
      <w:lvlText w:val="•"/>
      <w:lvlJc w:val="left"/>
      <w:pPr>
        <w:tabs>
          <w:tab w:val="num" w:pos="6480"/>
        </w:tabs>
        <w:ind w:left="6480" w:hanging="360"/>
      </w:pPr>
      <w:rPr>
        <w:rFonts w:ascii="Times New Roman" w:hAnsi="Times New Roman" w:hint="default"/>
      </w:rPr>
    </w:lvl>
  </w:abstractNum>
  <w:abstractNum w:abstractNumId="1">
    <w:nsid w:val="44C61D35"/>
    <w:multiLevelType w:val="hybridMultilevel"/>
    <w:tmpl w:val="6D26E62A"/>
    <w:lvl w:ilvl="0" w:tplc="84F2DE94">
      <w:start w:val="1"/>
      <w:numFmt w:val="bullet"/>
      <w:lvlText w:val="•"/>
      <w:lvlJc w:val="left"/>
      <w:pPr>
        <w:tabs>
          <w:tab w:val="num" w:pos="720"/>
        </w:tabs>
        <w:ind w:left="720" w:hanging="360"/>
      </w:pPr>
      <w:rPr>
        <w:rFonts w:ascii="Times New Roman" w:hAnsi="Times New Roman" w:hint="default"/>
      </w:rPr>
    </w:lvl>
    <w:lvl w:ilvl="1" w:tplc="7362EDCE" w:tentative="1">
      <w:start w:val="1"/>
      <w:numFmt w:val="bullet"/>
      <w:lvlText w:val="•"/>
      <w:lvlJc w:val="left"/>
      <w:pPr>
        <w:tabs>
          <w:tab w:val="num" w:pos="1440"/>
        </w:tabs>
        <w:ind w:left="1440" w:hanging="360"/>
      </w:pPr>
      <w:rPr>
        <w:rFonts w:ascii="Times New Roman" w:hAnsi="Times New Roman" w:hint="default"/>
      </w:rPr>
    </w:lvl>
    <w:lvl w:ilvl="2" w:tplc="8C5656CC" w:tentative="1">
      <w:start w:val="1"/>
      <w:numFmt w:val="bullet"/>
      <w:lvlText w:val="•"/>
      <w:lvlJc w:val="left"/>
      <w:pPr>
        <w:tabs>
          <w:tab w:val="num" w:pos="2160"/>
        </w:tabs>
        <w:ind w:left="2160" w:hanging="360"/>
      </w:pPr>
      <w:rPr>
        <w:rFonts w:ascii="Times New Roman" w:hAnsi="Times New Roman" w:hint="default"/>
      </w:rPr>
    </w:lvl>
    <w:lvl w:ilvl="3" w:tplc="20A84C30">
      <w:start w:val="867"/>
      <w:numFmt w:val="bullet"/>
      <w:lvlText w:val=""/>
      <w:lvlJc w:val="left"/>
      <w:pPr>
        <w:tabs>
          <w:tab w:val="num" w:pos="2880"/>
        </w:tabs>
        <w:ind w:left="2880" w:hanging="360"/>
      </w:pPr>
      <w:rPr>
        <w:rFonts w:ascii="Wingdings" w:hAnsi="Wingdings" w:hint="default"/>
      </w:rPr>
    </w:lvl>
    <w:lvl w:ilvl="4" w:tplc="57F24952" w:tentative="1">
      <w:start w:val="1"/>
      <w:numFmt w:val="bullet"/>
      <w:lvlText w:val="•"/>
      <w:lvlJc w:val="left"/>
      <w:pPr>
        <w:tabs>
          <w:tab w:val="num" w:pos="3600"/>
        </w:tabs>
        <w:ind w:left="3600" w:hanging="360"/>
      </w:pPr>
      <w:rPr>
        <w:rFonts w:ascii="Times New Roman" w:hAnsi="Times New Roman" w:hint="default"/>
      </w:rPr>
    </w:lvl>
    <w:lvl w:ilvl="5" w:tplc="5DB6716A" w:tentative="1">
      <w:start w:val="1"/>
      <w:numFmt w:val="bullet"/>
      <w:lvlText w:val="•"/>
      <w:lvlJc w:val="left"/>
      <w:pPr>
        <w:tabs>
          <w:tab w:val="num" w:pos="4320"/>
        </w:tabs>
        <w:ind w:left="4320" w:hanging="360"/>
      </w:pPr>
      <w:rPr>
        <w:rFonts w:ascii="Times New Roman" w:hAnsi="Times New Roman" w:hint="default"/>
      </w:rPr>
    </w:lvl>
    <w:lvl w:ilvl="6" w:tplc="6ADE6442" w:tentative="1">
      <w:start w:val="1"/>
      <w:numFmt w:val="bullet"/>
      <w:lvlText w:val="•"/>
      <w:lvlJc w:val="left"/>
      <w:pPr>
        <w:tabs>
          <w:tab w:val="num" w:pos="5040"/>
        </w:tabs>
        <w:ind w:left="5040" w:hanging="360"/>
      </w:pPr>
      <w:rPr>
        <w:rFonts w:ascii="Times New Roman" w:hAnsi="Times New Roman" w:hint="default"/>
      </w:rPr>
    </w:lvl>
    <w:lvl w:ilvl="7" w:tplc="CAF8006E" w:tentative="1">
      <w:start w:val="1"/>
      <w:numFmt w:val="bullet"/>
      <w:lvlText w:val="•"/>
      <w:lvlJc w:val="left"/>
      <w:pPr>
        <w:tabs>
          <w:tab w:val="num" w:pos="5760"/>
        </w:tabs>
        <w:ind w:left="5760" w:hanging="360"/>
      </w:pPr>
      <w:rPr>
        <w:rFonts w:ascii="Times New Roman" w:hAnsi="Times New Roman" w:hint="default"/>
      </w:rPr>
    </w:lvl>
    <w:lvl w:ilvl="8" w:tplc="EBDC15E0" w:tentative="1">
      <w:start w:val="1"/>
      <w:numFmt w:val="bullet"/>
      <w:lvlText w:val="•"/>
      <w:lvlJc w:val="left"/>
      <w:pPr>
        <w:tabs>
          <w:tab w:val="num" w:pos="6480"/>
        </w:tabs>
        <w:ind w:left="6480" w:hanging="360"/>
      </w:pPr>
      <w:rPr>
        <w:rFonts w:ascii="Times New Roman" w:hAnsi="Times New Roman" w:hint="default"/>
      </w:rPr>
    </w:lvl>
  </w:abstractNum>
  <w:abstractNum w:abstractNumId="2">
    <w:nsid w:val="6E870E55"/>
    <w:multiLevelType w:val="hybridMultilevel"/>
    <w:tmpl w:val="FF24B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A942AA"/>
    <w:rsid w:val="0006406C"/>
    <w:rsid w:val="000F3D7E"/>
    <w:rsid w:val="001020DB"/>
    <w:rsid w:val="001159A7"/>
    <w:rsid w:val="00285222"/>
    <w:rsid w:val="002A6015"/>
    <w:rsid w:val="003A6768"/>
    <w:rsid w:val="00461484"/>
    <w:rsid w:val="004B106F"/>
    <w:rsid w:val="005769D4"/>
    <w:rsid w:val="006028E0"/>
    <w:rsid w:val="006F7A3A"/>
    <w:rsid w:val="007A5697"/>
    <w:rsid w:val="007F123D"/>
    <w:rsid w:val="0094442E"/>
    <w:rsid w:val="00A942AA"/>
    <w:rsid w:val="00AB766A"/>
    <w:rsid w:val="00B555AE"/>
    <w:rsid w:val="00C13FBA"/>
    <w:rsid w:val="00C90D33"/>
    <w:rsid w:val="00CC5128"/>
    <w:rsid w:val="00CE7A11"/>
    <w:rsid w:val="00D95554"/>
    <w:rsid w:val="00DC776C"/>
    <w:rsid w:val="00DC7B7D"/>
    <w:rsid w:val="00E16A48"/>
    <w:rsid w:val="00F17048"/>
    <w:rsid w:val="00FB4A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2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942AA"/>
    <w:rPr>
      <w:color w:val="0000FF" w:themeColor="hyperlink"/>
      <w:u w:val="single"/>
    </w:rPr>
  </w:style>
  <w:style w:type="paragraph" w:customStyle="1" w:styleId="Default">
    <w:name w:val="Default"/>
    <w:rsid w:val="00A942AA"/>
    <w:pPr>
      <w:autoSpaceDE w:val="0"/>
      <w:autoSpaceDN w:val="0"/>
      <w:adjustRightInd w:val="0"/>
      <w:spacing w:before="0" w:after="0"/>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A942AA"/>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942AA"/>
    <w:rPr>
      <w:rFonts w:ascii="Tahoma" w:hAnsi="Tahoma" w:cs="Tahoma"/>
      <w:sz w:val="16"/>
      <w:szCs w:val="16"/>
    </w:rPr>
  </w:style>
  <w:style w:type="paragraph" w:styleId="En-tte">
    <w:name w:val="header"/>
    <w:basedOn w:val="Normal"/>
    <w:link w:val="En-tteCar"/>
    <w:uiPriority w:val="99"/>
    <w:semiHidden/>
    <w:unhideWhenUsed/>
    <w:rsid w:val="007A5697"/>
    <w:pPr>
      <w:tabs>
        <w:tab w:val="center" w:pos="4536"/>
        <w:tab w:val="right" w:pos="9072"/>
      </w:tabs>
      <w:spacing w:before="0" w:after="0"/>
    </w:pPr>
  </w:style>
  <w:style w:type="character" w:customStyle="1" w:styleId="En-tteCar">
    <w:name w:val="En-tête Car"/>
    <w:basedOn w:val="Policepardfaut"/>
    <w:link w:val="En-tte"/>
    <w:uiPriority w:val="99"/>
    <w:semiHidden/>
    <w:rsid w:val="007A5697"/>
  </w:style>
  <w:style w:type="paragraph" w:styleId="Pieddepage">
    <w:name w:val="footer"/>
    <w:basedOn w:val="Normal"/>
    <w:link w:val="PieddepageCar"/>
    <w:uiPriority w:val="99"/>
    <w:unhideWhenUsed/>
    <w:rsid w:val="007A5697"/>
    <w:pPr>
      <w:tabs>
        <w:tab w:val="center" w:pos="4536"/>
        <w:tab w:val="right" w:pos="9072"/>
      </w:tabs>
      <w:spacing w:before="0" w:after="0"/>
    </w:pPr>
  </w:style>
  <w:style w:type="character" w:customStyle="1" w:styleId="PieddepageCar">
    <w:name w:val="Pied de page Car"/>
    <w:basedOn w:val="Policepardfaut"/>
    <w:link w:val="Pieddepage"/>
    <w:uiPriority w:val="99"/>
    <w:rsid w:val="007A5697"/>
  </w:style>
  <w:style w:type="character" w:styleId="Textedelespacerserv">
    <w:name w:val="Placeholder Text"/>
    <w:basedOn w:val="Policepardfaut"/>
    <w:uiPriority w:val="99"/>
    <w:semiHidden/>
    <w:rsid w:val="007F123D"/>
    <w:rPr>
      <w:color w:val="808080"/>
    </w:rPr>
  </w:style>
</w:styles>
</file>

<file path=word/webSettings.xml><?xml version="1.0" encoding="utf-8"?>
<w:webSettings xmlns:r="http://schemas.openxmlformats.org/officeDocument/2006/relationships" xmlns:w="http://schemas.openxmlformats.org/wordprocessingml/2006/main">
  <w:divs>
    <w:div w:id="425229403">
      <w:bodyDiv w:val="1"/>
      <w:marLeft w:val="0"/>
      <w:marRight w:val="0"/>
      <w:marTop w:val="0"/>
      <w:marBottom w:val="0"/>
      <w:divBdr>
        <w:top w:val="none" w:sz="0" w:space="0" w:color="auto"/>
        <w:left w:val="none" w:sz="0" w:space="0" w:color="auto"/>
        <w:bottom w:val="none" w:sz="0" w:space="0" w:color="auto"/>
        <w:right w:val="none" w:sz="0" w:space="0" w:color="auto"/>
      </w:divBdr>
      <w:divsChild>
        <w:div w:id="1517306730">
          <w:marLeft w:val="2160"/>
          <w:marRight w:val="0"/>
          <w:marTop w:val="0"/>
          <w:marBottom w:val="0"/>
          <w:divBdr>
            <w:top w:val="none" w:sz="0" w:space="0" w:color="auto"/>
            <w:left w:val="none" w:sz="0" w:space="0" w:color="auto"/>
            <w:bottom w:val="none" w:sz="0" w:space="0" w:color="auto"/>
            <w:right w:val="none" w:sz="0" w:space="0" w:color="auto"/>
          </w:divBdr>
        </w:div>
        <w:div w:id="1450586545">
          <w:marLeft w:val="2160"/>
          <w:marRight w:val="0"/>
          <w:marTop w:val="0"/>
          <w:marBottom w:val="0"/>
          <w:divBdr>
            <w:top w:val="none" w:sz="0" w:space="0" w:color="auto"/>
            <w:left w:val="none" w:sz="0" w:space="0" w:color="auto"/>
            <w:bottom w:val="none" w:sz="0" w:space="0" w:color="auto"/>
            <w:right w:val="none" w:sz="0" w:space="0" w:color="auto"/>
          </w:divBdr>
        </w:div>
        <w:div w:id="1802263587">
          <w:marLeft w:val="2160"/>
          <w:marRight w:val="0"/>
          <w:marTop w:val="0"/>
          <w:marBottom w:val="0"/>
          <w:divBdr>
            <w:top w:val="none" w:sz="0" w:space="0" w:color="auto"/>
            <w:left w:val="none" w:sz="0" w:space="0" w:color="auto"/>
            <w:bottom w:val="none" w:sz="0" w:space="0" w:color="auto"/>
            <w:right w:val="none" w:sz="0" w:space="0" w:color="auto"/>
          </w:divBdr>
        </w:div>
        <w:div w:id="1377315561">
          <w:marLeft w:val="2160"/>
          <w:marRight w:val="0"/>
          <w:marTop w:val="0"/>
          <w:marBottom w:val="0"/>
          <w:divBdr>
            <w:top w:val="none" w:sz="0" w:space="0" w:color="auto"/>
            <w:left w:val="none" w:sz="0" w:space="0" w:color="auto"/>
            <w:bottom w:val="none" w:sz="0" w:space="0" w:color="auto"/>
            <w:right w:val="none" w:sz="0" w:space="0" w:color="auto"/>
          </w:divBdr>
        </w:div>
        <w:div w:id="778568836">
          <w:marLeft w:val="2160"/>
          <w:marRight w:val="0"/>
          <w:marTop w:val="0"/>
          <w:marBottom w:val="0"/>
          <w:divBdr>
            <w:top w:val="none" w:sz="0" w:space="0" w:color="auto"/>
            <w:left w:val="none" w:sz="0" w:space="0" w:color="auto"/>
            <w:bottom w:val="none" w:sz="0" w:space="0" w:color="auto"/>
            <w:right w:val="none" w:sz="0" w:space="0" w:color="auto"/>
          </w:divBdr>
        </w:div>
        <w:div w:id="894045310">
          <w:marLeft w:val="2160"/>
          <w:marRight w:val="0"/>
          <w:marTop w:val="0"/>
          <w:marBottom w:val="0"/>
          <w:divBdr>
            <w:top w:val="none" w:sz="0" w:space="0" w:color="auto"/>
            <w:left w:val="none" w:sz="0" w:space="0" w:color="auto"/>
            <w:bottom w:val="none" w:sz="0" w:space="0" w:color="auto"/>
            <w:right w:val="none" w:sz="0" w:space="0" w:color="auto"/>
          </w:divBdr>
        </w:div>
        <w:div w:id="1508522663">
          <w:marLeft w:val="2160"/>
          <w:marRight w:val="0"/>
          <w:marTop w:val="0"/>
          <w:marBottom w:val="0"/>
          <w:divBdr>
            <w:top w:val="none" w:sz="0" w:space="0" w:color="auto"/>
            <w:left w:val="none" w:sz="0" w:space="0" w:color="auto"/>
            <w:bottom w:val="none" w:sz="0" w:space="0" w:color="auto"/>
            <w:right w:val="none" w:sz="0" w:space="0" w:color="auto"/>
          </w:divBdr>
        </w:div>
        <w:div w:id="686832815">
          <w:marLeft w:val="2160"/>
          <w:marRight w:val="0"/>
          <w:marTop w:val="0"/>
          <w:marBottom w:val="0"/>
          <w:divBdr>
            <w:top w:val="none" w:sz="0" w:space="0" w:color="auto"/>
            <w:left w:val="none" w:sz="0" w:space="0" w:color="auto"/>
            <w:bottom w:val="none" w:sz="0" w:space="0" w:color="auto"/>
            <w:right w:val="none" w:sz="0" w:space="0" w:color="auto"/>
          </w:divBdr>
        </w:div>
      </w:divsChild>
    </w:div>
    <w:div w:id="514736719">
      <w:bodyDiv w:val="1"/>
      <w:marLeft w:val="0"/>
      <w:marRight w:val="0"/>
      <w:marTop w:val="0"/>
      <w:marBottom w:val="0"/>
      <w:divBdr>
        <w:top w:val="none" w:sz="0" w:space="0" w:color="auto"/>
        <w:left w:val="none" w:sz="0" w:space="0" w:color="auto"/>
        <w:bottom w:val="none" w:sz="0" w:space="0" w:color="auto"/>
        <w:right w:val="none" w:sz="0" w:space="0" w:color="auto"/>
      </w:divBdr>
    </w:div>
    <w:div w:id="586109747">
      <w:bodyDiv w:val="1"/>
      <w:marLeft w:val="0"/>
      <w:marRight w:val="0"/>
      <w:marTop w:val="0"/>
      <w:marBottom w:val="0"/>
      <w:divBdr>
        <w:top w:val="none" w:sz="0" w:space="0" w:color="auto"/>
        <w:left w:val="none" w:sz="0" w:space="0" w:color="auto"/>
        <w:bottom w:val="none" w:sz="0" w:space="0" w:color="auto"/>
        <w:right w:val="none" w:sz="0" w:space="0" w:color="auto"/>
      </w:divBdr>
    </w:div>
    <w:div w:id="1028142899">
      <w:bodyDiv w:val="1"/>
      <w:marLeft w:val="0"/>
      <w:marRight w:val="0"/>
      <w:marTop w:val="0"/>
      <w:marBottom w:val="0"/>
      <w:divBdr>
        <w:top w:val="none" w:sz="0" w:space="0" w:color="auto"/>
        <w:left w:val="none" w:sz="0" w:space="0" w:color="auto"/>
        <w:bottom w:val="none" w:sz="0" w:space="0" w:color="auto"/>
        <w:right w:val="none" w:sz="0" w:space="0" w:color="auto"/>
      </w:divBdr>
    </w:div>
    <w:div w:id="209875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bachelor.free.fr/gma/GMA1/index.php?page=9"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forumbachelor.free.fr/gma/GMA1/index.php?page=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A1015"/>
    <w:rsid w:val="005A1015"/>
    <w:rsid w:val="00BF62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1015"/>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1578</Words>
  <Characters>8681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2017-05-07T08:19:00Z</dcterms:created>
  <dcterms:modified xsi:type="dcterms:W3CDTF">2017-05-07T08:19:00Z</dcterms:modified>
</cp:coreProperties>
</file>