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80" w:rsidRPr="00D27B04" w:rsidRDefault="00B07680" w:rsidP="00B07680">
      <w:pPr>
        <w:spacing w:after="0" w:line="360" w:lineRule="auto"/>
        <w:outlineLvl w:val="2"/>
        <w:rPr>
          <w:rFonts w:asciiTheme="majorBidi" w:eastAsia="Times New Roman" w:hAnsiTheme="majorBidi" w:cstheme="majorBidi"/>
          <w:b/>
          <w:bCs/>
          <w:sz w:val="24"/>
          <w:szCs w:val="24"/>
        </w:rPr>
      </w:pPr>
      <w:r w:rsidRPr="00D27B04">
        <w:rPr>
          <w:rFonts w:asciiTheme="majorBidi" w:eastAsia="Times New Roman" w:hAnsiTheme="majorBidi" w:cstheme="majorBidi"/>
          <w:b/>
          <w:bCs/>
          <w:sz w:val="24"/>
          <w:szCs w:val="24"/>
        </w:rPr>
        <w:t>IV.2. Les récepteurs nucléaires</w:t>
      </w:r>
    </w:p>
    <w:p w:rsidR="00B07680" w:rsidRPr="00D27B04" w:rsidRDefault="00B07680" w:rsidP="00B07680">
      <w:pPr>
        <w:spacing w:after="0" w:line="360" w:lineRule="auto"/>
        <w:rPr>
          <w:rFonts w:asciiTheme="majorBidi" w:hAnsiTheme="majorBidi" w:cstheme="majorBidi"/>
          <w:sz w:val="24"/>
          <w:szCs w:val="24"/>
        </w:rPr>
      </w:pPr>
      <w:r w:rsidRPr="00D27B04">
        <w:rPr>
          <w:rFonts w:asciiTheme="majorBidi" w:eastAsia="Times New Roman" w:hAnsiTheme="majorBidi" w:cstheme="majorBidi"/>
          <w:b/>
          <w:bCs/>
          <w:sz w:val="24"/>
          <w:szCs w:val="24"/>
        </w:rPr>
        <w:t xml:space="preserve">IV.2.1 </w:t>
      </w:r>
      <w:r w:rsidRPr="00D27B04">
        <w:rPr>
          <w:rFonts w:asciiTheme="majorBidi" w:hAnsiTheme="majorBidi" w:cstheme="majorBidi"/>
          <w:b/>
          <w:bCs/>
          <w:sz w:val="24"/>
          <w:szCs w:val="24"/>
        </w:rPr>
        <w:t>Généralités</w:t>
      </w:r>
      <w:r w:rsidRPr="00D27B04">
        <w:rPr>
          <w:rFonts w:asciiTheme="majorBidi" w:hAnsiTheme="majorBidi" w:cstheme="majorBidi"/>
          <w:sz w:val="24"/>
          <w:szCs w:val="24"/>
        </w:rPr>
        <w:t xml:space="preserve"> : </w:t>
      </w:r>
    </w:p>
    <w:p w:rsidR="00B07680" w:rsidRPr="00D27B04" w:rsidRDefault="00B07680" w:rsidP="00B07680">
      <w:pPr>
        <w:spacing w:after="0" w:line="360" w:lineRule="auto"/>
        <w:jc w:val="both"/>
        <w:rPr>
          <w:rFonts w:asciiTheme="majorBidi" w:hAnsiTheme="majorBidi" w:cstheme="majorBidi"/>
          <w:sz w:val="24"/>
          <w:szCs w:val="24"/>
          <w:lang w:bidi="ar-DZ"/>
        </w:rPr>
      </w:pPr>
      <w:r w:rsidRPr="00D27B04">
        <w:rPr>
          <w:rFonts w:asciiTheme="majorBidi" w:hAnsiTheme="majorBidi" w:cstheme="majorBidi"/>
          <w:sz w:val="24"/>
          <w:szCs w:val="24"/>
        </w:rPr>
        <w:t>Les récepteurs nucléaires sont des protéines dont la taille varie entre 40 et 100 kilo</w:t>
      </w:r>
      <w:r>
        <w:rPr>
          <w:rFonts w:asciiTheme="majorBidi" w:hAnsiTheme="majorBidi" w:cstheme="majorBidi"/>
          <w:sz w:val="24"/>
          <w:szCs w:val="24"/>
        </w:rPr>
        <w:t xml:space="preserve"> </w:t>
      </w:r>
      <w:r w:rsidRPr="00D27B04">
        <w:rPr>
          <w:rFonts w:asciiTheme="majorBidi" w:hAnsiTheme="majorBidi" w:cstheme="majorBidi"/>
          <w:sz w:val="24"/>
          <w:szCs w:val="24"/>
        </w:rPr>
        <w:t xml:space="preserve">daltons (KDa). Ils représentent </w:t>
      </w:r>
      <w:r w:rsidRPr="00D27B04">
        <w:rPr>
          <w:rFonts w:asciiTheme="majorBidi" w:hAnsiTheme="majorBidi" w:cstheme="majorBidi"/>
          <w:sz w:val="24"/>
          <w:szCs w:val="24"/>
          <w:lang w:bidi="ar-DZ"/>
        </w:rPr>
        <w:t>les  facteurs de transcriptions, activés par un signal chimique d'origine extracellulaire (ligand)</w:t>
      </w:r>
      <w:r w:rsidRPr="00D27B04">
        <w:rPr>
          <w:rFonts w:asciiTheme="majorBidi" w:hAnsiTheme="majorBidi" w:cstheme="majorBidi"/>
          <w:sz w:val="24"/>
          <w:szCs w:val="24"/>
        </w:rPr>
        <w:t>.</w:t>
      </w:r>
    </w:p>
    <w:p w:rsidR="00B07680" w:rsidRPr="00D27B04" w:rsidRDefault="00B07680" w:rsidP="00B07680">
      <w:pPr>
        <w:spacing w:after="0" w:line="360" w:lineRule="auto"/>
        <w:jc w:val="both"/>
        <w:rPr>
          <w:rFonts w:asciiTheme="majorBidi" w:hAnsiTheme="majorBidi" w:cstheme="majorBidi"/>
          <w:sz w:val="24"/>
          <w:szCs w:val="24"/>
          <w:lang w:bidi="ar-DZ"/>
        </w:rPr>
      </w:pPr>
      <w:r w:rsidRPr="00D27B04">
        <w:rPr>
          <w:rFonts w:asciiTheme="majorBidi" w:hAnsiTheme="majorBidi" w:cstheme="majorBidi"/>
          <w:sz w:val="24"/>
          <w:szCs w:val="24"/>
          <w:lang w:bidi="ar-DZ"/>
        </w:rPr>
        <w:t>A l’état inactif, ces facteurs de transcription sont localisés soit dans le cytoplasme  soit dans le noyau, ils ne peuvent reconnaître que des ligands (molécule signal hydrophobe) capables de franchir la membrane plasmique. La fixation du ligand  entraîne une modification allostérique de la conformation du récepteur protéique qui augmente sa capacité à se fixer sur l’a</w:t>
      </w:r>
      <w:r w:rsidRPr="00D27B04">
        <w:rPr>
          <w:rFonts w:asciiTheme="majorBidi" w:hAnsiTheme="majorBidi" w:cstheme="majorBidi"/>
          <w:sz w:val="24"/>
          <w:szCs w:val="24"/>
        </w:rPr>
        <w:t>cide désoxyribonucléique</w:t>
      </w:r>
      <w:r w:rsidRPr="00D27B04">
        <w:rPr>
          <w:rFonts w:asciiTheme="majorBidi" w:hAnsiTheme="majorBidi" w:cstheme="majorBidi"/>
          <w:sz w:val="24"/>
          <w:szCs w:val="24"/>
          <w:lang w:bidi="ar-DZ"/>
        </w:rPr>
        <w:t xml:space="preserve"> (ADN). Les ligands des récepteurs nucléaires sont principalement des hormones (hormones stéroïdes, hormones thyroïdiennes et dérivés des vitamines A et D). </w:t>
      </w:r>
    </w:p>
    <w:p w:rsidR="00B07680" w:rsidRPr="00D27B04" w:rsidRDefault="00B07680" w:rsidP="00B07680">
      <w:pPr>
        <w:spacing w:after="0" w:line="360" w:lineRule="auto"/>
        <w:jc w:val="both"/>
        <w:rPr>
          <w:rFonts w:asciiTheme="majorBidi" w:hAnsiTheme="majorBidi" w:cstheme="majorBidi"/>
          <w:sz w:val="24"/>
          <w:szCs w:val="24"/>
        </w:rPr>
      </w:pPr>
      <w:r w:rsidRPr="00D27B04">
        <w:rPr>
          <w:rFonts w:asciiTheme="majorBidi" w:hAnsiTheme="majorBidi" w:cstheme="majorBidi"/>
          <w:sz w:val="24"/>
          <w:szCs w:val="24"/>
          <w:lang w:bidi="ar-DZ"/>
        </w:rPr>
        <w:t>C</w:t>
      </w:r>
      <w:r w:rsidRPr="00D27B04">
        <w:rPr>
          <w:rFonts w:asciiTheme="majorBidi" w:hAnsiTheme="majorBidi" w:cstheme="majorBidi"/>
          <w:sz w:val="24"/>
          <w:szCs w:val="24"/>
        </w:rPr>
        <w:t xml:space="preserve">es récepteurs fonctionnent avec d'autres protéines pour réguler </w:t>
      </w:r>
      <w:hyperlink r:id="rId5" w:tooltip="Gene expression" w:history="1">
        <w:r w:rsidRPr="00D27B04">
          <w:rPr>
            <w:rStyle w:val="Lienhypertexte"/>
            <w:rFonts w:asciiTheme="majorBidi" w:eastAsiaTheme="majorEastAsia" w:hAnsiTheme="majorBidi" w:cstheme="majorBidi"/>
            <w:color w:val="auto"/>
            <w:sz w:val="24"/>
            <w:szCs w:val="24"/>
            <w:u w:val="none"/>
          </w:rPr>
          <w:t>l'expression</w:t>
        </w:r>
      </w:hyperlink>
      <w:r w:rsidRPr="00D27B04">
        <w:rPr>
          <w:rFonts w:asciiTheme="majorBidi" w:hAnsiTheme="majorBidi" w:cstheme="majorBidi"/>
          <w:sz w:val="24"/>
          <w:szCs w:val="24"/>
        </w:rPr>
        <w:t xml:space="preserve"> de </w:t>
      </w:r>
      <w:hyperlink r:id="rId6" w:tooltip="Gene" w:history="1">
        <w:r w:rsidRPr="00D27B04">
          <w:rPr>
            <w:rStyle w:val="Lienhypertexte"/>
            <w:rFonts w:asciiTheme="majorBidi" w:eastAsiaTheme="majorEastAsia" w:hAnsiTheme="majorBidi" w:cstheme="majorBidi"/>
            <w:color w:val="auto"/>
            <w:sz w:val="24"/>
            <w:szCs w:val="24"/>
            <w:u w:val="none"/>
          </w:rPr>
          <w:t>gènes</w:t>
        </w:r>
      </w:hyperlink>
      <w:r w:rsidRPr="00D27B04">
        <w:rPr>
          <w:rFonts w:asciiTheme="majorBidi" w:hAnsiTheme="majorBidi" w:cstheme="majorBidi"/>
          <w:sz w:val="24"/>
          <w:szCs w:val="24"/>
        </w:rPr>
        <w:t xml:space="preserve"> spécifiques contrôlant ainsi le développement, </w:t>
      </w:r>
      <w:hyperlink r:id="rId7" w:anchor="Biological_homeostasis" w:tooltip="Homéostasie" w:history="1">
        <w:r w:rsidRPr="00D27B04">
          <w:rPr>
            <w:rStyle w:val="Lienhypertexte"/>
            <w:rFonts w:asciiTheme="majorBidi" w:eastAsiaTheme="majorEastAsia" w:hAnsiTheme="majorBidi" w:cstheme="majorBidi"/>
            <w:color w:val="auto"/>
            <w:sz w:val="24"/>
            <w:szCs w:val="24"/>
            <w:u w:val="none"/>
          </w:rPr>
          <w:t>l'homéostasie</w:t>
        </w:r>
      </w:hyperlink>
      <w:r w:rsidRPr="00D27B04">
        <w:rPr>
          <w:rFonts w:asciiTheme="majorBidi" w:hAnsiTheme="majorBidi" w:cstheme="majorBidi"/>
          <w:sz w:val="24"/>
          <w:szCs w:val="24"/>
        </w:rPr>
        <w:t xml:space="preserve"> et </w:t>
      </w:r>
      <w:hyperlink r:id="rId8" w:anchor="Regulation_and_control" w:tooltip="Métabolisme" w:history="1">
        <w:r w:rsidRPr="00D27B04">
          <w:rPr>
            <w:rStyle w:val="Lienhypertexte"/>
            <w:rFonts w:asciiTheme="majorBidi" w:eastAsiaTheme="majorEastAsia" w:hAnsiTheme="majorBidi" w:cstheme="majorBidi"/>
            <w:color w:val="auto"/>
            <w:sz w:val="24"/>
            <w:szCs w:val="24"/>
            <w:u w:val="none"/>
          </w:rPr>
          <w:t>le métabolisme</w:t>
        </w:r>
      </w:hyperlink>
      <w:r w:rsidRPr="00D27B04">
        <w:rPr>
          <w:rFonts w:asciiTheme="majorBidi" w:hAnsiTheme="majorBidi" w:cstheme="majorBidi"/>
          <w:sz w:val="24"/>
          <w:szCs w:val="24"/>
        </w:rPr>
        <w:t xml:space="preserve"> de l'organisme.</w:t>
      </w:r>
    </w:p>
    <w:p w:rsidR="00B07680" w:rsidRPr="00D27B04" w:rsidRDefault="00B07680" w:rsidP="00B07680">
      <w:pPr>
        <w:spacing w:after="0" w:line="360" w:lineRule="auto"/>
        <w:rPr>
          <w:rFonts w:asciiTheme="majorBidi" w:hAnsiTheme="majorBidi" w:cstheme="majorBidi"/>
          <w:sz w:val="24"/>
          <w:szCs w:val="24"/>
        </w:rPr>
      </w:pPr>
      <w:r w:rsidRPr="00D27B04">
        <w:rPr>
          <w:rFonts w:asciiTheme="majorBidi" w:eastAsia="Times New Roman" w:hAnsiTheme="majorBidi" w:cstheme="majorBidi"/>
          <w:b/>
          <w:bCs/>
          <w:sz w:val="24"/>
          <w:szCs w:val="24"/>
        </w:rPr>
        <w:t xml:space="preserve">IV.2.2 </w:t>
      </w:r>
      <w:r w:rsidRPr="00D27B04">
        <w:rPr>
          <w:rFonts w:asciiTheme="majorBidi" w:hAnsiTheme="majorBidi" w:cstheme="majorBidi"/>
          <w:b/>
          <w:bCs/>
          <w:sz w:val="24"/>
          <w:szCs w:val="24"/>
        </w:rPr>
        <w:t>Organisation fonctionnelle et structurale des récepteurs nucléaires</w:t>
      </w:r>
      <w:r w:rsidRPr="00D27B04">
        <w:rPr>
          <w:rFonts w:asciiTheme="majorBidi" w:hAnsiTheme="majorBidi" w:cstheme="majorBidi"/>
          <w:sz w:val="24"/>
          <w:szCs w:val="24"/>
        </w:rPr>
        <w:t>:</w:t>
      </w:r>
    </w:p>
    <w:p w:rsidR="00B07680" w:rsidRPr="00D27B04" w:rsidRDefault="00B07680" w:rsidP="00B07680">
      <w:pPr>
        <w:spacing w:after="0" w:line="360" w:lineRule="auto"/>
        <w:jc w:val="both"/>
        <w:rPr>
          <w:rFonts w:asciiTheme="majorBidi" w:eastAsia="Times New Roman" w:hAnsiTheme="majorBidi" w:cstheme="majorBidi"/>
          <w:sz w:val="24"/>
          <w:szCs w:val="24"/>
        </w:rPr>
      </w:pPr>
      <w:r w:rsidRPr="00D27B04">
        <w:rPr>
          <w:rFonts w:asciiTheme="majorBidi" w:eastAsia="Times New Roman" w:hAnsiTheme="majorBidi" w:cstheme="majorBidi"/>
          <w:sz w:val="24"/>
          <w:szCs w:val="24"/>
        </w:rPr>
        <w:t>Les récepteurs nuc</w:t>
      </w:r>
      <w:r>
        <w:rPr>
          <w:rFonts w:asciiTheme="majorBidi" w:eastAsia="Times New Roman" w:hAnsiTheme="majorBidi" w:cstheme="majorBidi"/>
          <w:sz w:val="24"/>
          <w:szCs w:val="24"/>
        </w:rPr>
        <w:t>léaires sont</w:t>
      </w:r>
      <w:r w:rsidRPr="00D27B04">
        <w:rPr>
          <w:rFonts w:asciiTheme="majorBidi" w:hAnsiTheme="majorBidi" w:cstheme="majorBidi"/>
          <w:sz w:val="24"/>
          <w:szCs w:val="24"/>
        </w:rPr>
        <w:t xml:space="preserve"> des protéines monocaténaires de structure modulaire commune, organisé en cinq domaines fonctionnels, notés de A (à l'extrémité N-terminale) à F (à l'extrémité C-terminale) (Fi</w:t>
      </w:r>
      <w:r>
        <w:rPr>
          <w:rFonts w:asciiTheme="majorBidi" w:hAnsiTheme="majorBidi" w:cstheme="majorBidi"/>
          <w:sz w:val="24"/>
          <w:szCs w:val="24"/>
        </w:rPr>
        <w:t>gure23</w:t>
      </w:r>
      <w:r w:rsidRPr="00D27B04">
        <w:rPr>
          <w:rFonts w:asciiTheme="majorBidi" w:hAnsiTheme="majorBidi" w:cstheme="majorBidi"/>
          <w:sz w:val="24"/>
          <w:szCs w:val="24"/>
        </w:rPr>
        <w:t>).</w:t>
      </w:r>
    </w:p>
    <w:p w:rsidR="00B07680" w:rsidRPr="00D27B04" w:rsidRDefault="00B07680" w:rsidP="00B07680">
      <w:pPr>
        <w:tabs>
          <w:tab w:val="left" w:pos="1875"/>
        </w:tabs>
        <w:autoSpaceDE w:val="0"/>
        <w:autoSpaceDN w:val="0"/>
        <w:adjustRightInd w:val="0"/>
        <w:spacing w:after="0" w:line="360" w:lineRule="auto"/>
        <w:rPr>
          <w:rFonts w:asciiTheme="majorBidi" w:hAnsiTheme="majorBidi" w:cstheme="majorBidi"/>
          <w:sz w:val="24"/>
          <w:szCs w:val="24"/>
        </w:rPr>
      </w:pPr>
    </w:p>
    <w:p w:rsidR="00B07680" w:rsidRPr="000F3877" w:rsidRDefault="00B07680" w:rsidP="00B07680">
      <w:pPr>
        <w:autoSpaceDE w:val="0"/>
        <w:autoSpaceDN w:val="0"/>
        <w:adjustRightInd w:val="0"/>
        <w:spacing w:after="0" w:line="360" w:lineRule="auto"/>
        <w:jc w:val="center"/>
        <w:rPr>
          <w:rFonts w:asciiTheme="majorBidi" w:hAnsiTheme="majorBidi" w:cstheme="majorBidi"/>
          <w:sz w:val="24"/>
          <w:szCs w:val="24"/>
        </w:rPr>
      </w:pPr>
      <w:r w:rsidRPr="000F3877">
        <w:rPr>
          <w:rFonts w:asciiTheme="majorBidi" w:hAnsiTheme="majorBidi" w:cstheme="majorBidi"/>
          <w:noProof/>
          <w:sz w:val="24"/>
          <w:szCs w:val="24"/>
        </w:rPr>
        <w:drawing>
          <wp:inline distT="0" distB="0" distL="0" distR="0" wp14:anchorId="39FD8412" wp14:editId="4DC0675A">
            <wp:extent cx="5162550" cy="1781175"/>
            <wp:effectExtent l="19050" t="19050" r="19050" b="28575"/>
            <wp:docPr id="5" name="Image 5" descr="facteur transcription factor recepteur nucleaire nuclear receptor DNA binding domain respons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eur transcription factor recepteur nucleaire nuclear receptor DNA binding domain response el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550" cy="1781175"/>
                    </a:xfrm>
                    <a:prstGeom prst="rect">
                      <a:avLst/>
                    </a:prstGeom>
                    <a:noFill/>
                    <a:ln>
                      <a:solidFill>
                        <a:sysClr val="windowText" lastClr="000000"/>
                      </a:solidFill>
                    </a:ln>
                  </pic:spPr>
                </pic:pic>
              </a:graphicData>
            </a:graphic>
          </wp:inline>
        </w:drawing>
      </w:r>
    </w:p>
    <w:p w:rsidR="00B07680" w:rsidRPr="000F3877" w:rsidRDefault="00B07680" w:rsidP="00B07680">
      <w:pPr>
        <w:autoSpaceDE w:val="0"/>
        <w:autoSpaceDN w:val="0"/>
        <w:adjustRightInd w:val="0"/>
        <w:spacing w:after="0" w:line="360" w:lineRule="auto"/>
        <w:jc w:val="center"/>
        <w:rPr>
          <w:rFonts w:asciiTheme="majorBidi" w:hAnsiTheme="majorBidi" w:cstheme="majorBidi"/>
          <w:b/>
          <w:bCs/>
          <w:sz w:val="24"/>
          <w:szCs w:val="24"/>
          <w:u w:val="single"/>
        </w:rPr>
      </w:pPr>
      <w:r w:rsidRPr="000F3877">
        <w:rPr>
          <w:rFonts w:asciiTheme="majorBidi" w:hAnsiTheme="majorBidi" w:cstheme="majorBidi"/>
          <w:b/>
          <w:bCs/>
          <w:sz w:val="24"/>
          <w:szCs w:val="24"/>
        </w:rPr>
        <w:t xml:space="preserve">Figure </w:t>
      </w:r>
      <w:r>
        <w:rPr>
          <w:rFonts w:asciiTheme="majorBidi" w:hAnsiTheme="majorBidi" w:cstheme="majorBidi"/>
          <w:b/>
          <w:bCs/>
          <w:sz w:val="24"/>
          <w:szCs w:val="24"/>
        </w:rPr>
        <w:t>23</w:t>
      </w:r>
      <w:r w:rsidRPr="000F3877">
        <w:rPr>
          <w:rFonts w:asciiTheme="majorBidi" w:hAnsiTheme="majorBidi" w:cstheme="majorBidi"/>
          <w:b/>
          <w:bCs/>
          <w:i/>
          <w:iCs/>
          <w:sz w:val="24"/>
          <w:szCs w:val="24"/>
        </w:rPr>
        <w:t xml:space="preserve">: </w:t>
      </w:r>
      <w:r w:rsidRPr="000F3877">
        <w:rPr>
          <w:rFonts w:asciiTheme="majorBidi" w:hAnsiTheme="majorBidi" w:cstheme="majorBidi"/>
          <w:b/>
          <w:bCs/>
          <w:sz w:val="24"/>
          <w:szCs w:val="24"/>
        </w:rPr>
        <w:t>Organisation structurale du récepteur nucléaire</w:t>
      </w: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r w:rsidRPr="000F3877">
        <w:rPr>
          <w:rFonts w:asciiTheme="majorBidi" w:hAnsiTheme="majorBidi" w:cstheme="majorBidi"/>
          <w:b/>
          <w:bCs/>
          <w:i/>
          <w:iCs/>
          <w:sz w:val="24"/>
          <w:szCs w:val="24"/>
        </w:rPr>
        <w:t>- Le domaine A/B:</w:t>
      </w:r>
    </w:p>
    <w:p w:rsidR="00B07680" w:rsidRPr="007228AA"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7228AA">
        <w:rPr>
          <w:rFonts w:asciiTheme="majorBidi" w:hAnsiTheme="majorBidi" w:cstheme="majorBidi"/>
          <w:sz w:val="24"/>
          <w:szCs w:val="24"/>
        </w:rPr>
        <w:t xml:space="preserve">Ce domaine  est peu conservé, c’est-à-dire de faible homologie d'un récepteur à l'autre (en particulier de longueur variable: long pour les récepteurs stéroïdiens, court pour les autres), Il a une activité transactivatrice constitutive indépendante du ligand (due au motif de transactivation AF1: </w:t>
      </w:r>
      <w:r w:rsidRPr="007228AA">
        <w:rPr>
          <w:rFonts w:asciiTheme="majorBidi" w:hAnsiTheme="majorBidi" w:cstheme="majorBidi"/>
          <w:i/>
          <w:iCs/>
          <w:sz w:val="24"/>
          <w:szCs w:val="24"/>
        </w:rPr>
        <w:t>Activation Function 1 motif</w:t>
      </w:r>
      <w:r w:rsidRPr="007228AA">
        <w:rPr>
          <w:rFonts w:asciiTheme="majorBidi" w:hAnsiTheme="majorBidi" w:cstheme="majorBidi"/>
          <w:sz w:val="24"/>
          <w:szCs w:val="24"/>
        </w:rPr>
        <w:t xml:space="preserve">, qui se lie avec co-régulateurs) et </w:t>
      </w:r>
      <w:r>
        <w:rPr>
          <w:rFonts w:asciiTheme="majorBidi" w:hAnsiTheme="majorBidi" w:cstheme="majorBidi"/>
          <w:sz w:val="24"/>
          <w:szCs w:val="24"/>
        </w:rPr>
        <w:t>i</w:t>
      </w:r>
      <w:r w:rsidRPr="007228AA">
        <w:rPr>
          <w:rFonts w:asciiTheme="majorBidi" w:hAnsiTheme="majorBidi" w:cstheme="majorBidi"/>
          <w:sz w:val="24"/>
          <w:szCs w:val="24"/>
        </w:rPr>
        <w:t xml:space="preserve">l est sensible </w:t>
      </w:r>
      <w:r w:rsidRPr="007228AA">
        <w:rPr>
          <w:rFonts w:asciiTheme="majorBidi" w:hAnsiTheme="majorBidi" w:cstheme="majorBidi"/>
          <w:sz w:val="24"/>
          <w:szCs w:val="24"/>
        </w:rPr>
        <w:lastRenderedPageBreak/>
        <w:t>à des modifications post-traductionnelles (par exemple glycosylation et phosphorylation) qui change son activité</w:t>
      </w: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r w:rsidRPr="000F3877">
        <w:rPr>
          <w:rFonts w:asciiTheme="majorBidi" w:hAnsiTheme="majorBidi" w:cstheme="majorBidi"/>
          <w:b/>
          <w:bCs/>
          <w:i/>
          <w:iCs/>
          <w:sz w:val="24"/>
          <w:szCs w:val="24"/>
        </w:rPr>
        <w:t>- Le domaine C:</w:t>
      </w:r>
    </w:p>
    <w:p w:rsidR="00B07680" w:rsidRPr="005621F0"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5621F0">
        <w:rPr>
          <w:rFonts w:asciiTheme="majorBidi" w:hAnsiTheme="majorBidi" w:cstheme="majorBidi"/>
          <w:sz w:val="24"/>
          <w:szCs w:val="24"/>
        </w:rPr>
        <w:t xml:space="preserve">Il est bien conservé, c’est-à-dire de forte homologie d'un récepteur à l'autre; </w:t>
      </w:r>
      <w:r>
        <w:rPr>
          <w:rFonts w:asciiTheme="majorBidi" w:hAnsiTheme="majorBidi" w:cstheme="majorBidi"/>
          <w:sz w:val="24"/>
          <w:szCs w:val="24"/>
        </w:rPr>
        <w:t>et</w:t>
      </w:r>
      <w:r w:rsidRPr="005621F0">
        <w:rPr>
          <w:rFonts w:asciiTheme="majorBidi" w:hAnsiTheme="majorBidi" w:cstheme="majorBidi"/>
          <w:sz w:val="24"/>
          <w:szCs w:val="24"/>
        </w:rPr>
        <w:t xml:space="preserve"> pourvu de</w:t>
      </w:r>
      <w:r>
        <w:rPr>
          <w:rFonts w:asciiTheme="majorBidi" w:hAnsiTheme="majorBidi" w:cstheme="majorBidi"/>
          <w:sz w:val="24"/>
          <w:szCs w:val="24"/>
        </w:rPr>
        <w:t xml:space="preserve"> deux motifs de "doigt de zinc".</w:t>
      </w:r>
    </w:p>
    <w:p w:rsidR="00B07680"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0F3877">
        <w:rPr>
          <w:rFonts w:asciiTheme="majorBidi" w:hAnsiTheme="majorBidi" w:cstheme="majorBidi"/>
          <w:sz w:val="24"/>
          <w:szCs w:val="24"/>
        </w:rPr>
        <w:t>C'est le domaine de liaison à l'ADN (</w:t>
      </w:r>
      <w:r w:rsidRPr="000F3877">
        <w:rPr>
          <w:rFonts w:asciiTheme="majorBidi" w:hAnsiTheme="majorBidi" w:cstheme="majorBidi"/>
          <w:i/>
          <w:iCs/>
          <w:sz w:val="24"/>
          <w:szCs w:val="24"/>
        </w:rPr>
        <w:t>DBD: DNA Binding Domain</w:t>
      </w:r>
      <w:r w:rsidRPr="000F3877">
        <w:rPr>
          <w:rFonts w:asciiTheme="majorBidi" w:hAnsiTheme="majorBidi" w:cstheme="majorBidi"/>
          <w:sz w:val="24"/>
          <w:szCs w:val="24"/>
        </w:rPr>
        <w:t>) au niveau de séquence spécifique appelée élément de réponse aux hormones (</w:t>
      </w:r>
      <w:r w:rsidRPr="000F3877">
        <w:rPr>
          <w:rFonts w:asciiTheme="majorBidi" w:hAnsiTheme="majorBidi" w:cstheme="majorBidi"/>
          <w:i/>
          <w:iCs/>
          <w:sz w:val="24"/>
          <w:szCs w:val="24"/>
        </w:rPr>
        <w:t>HRE: hormone Respensive</w:t>
      </w:r>
      <w:r>
        <w:rPr>
          <w:rFonts w:asciiTheme="majorBidi" w:hAnsiTheme="majorBidi" w:cstheme="majorBidi"/>
          <w:i/>
          <w:iCs/>
          <w:sz w:val="24"/>
          <w:szCs w:val="24"/>
        </w:rPr>
        <w:t xml:space="preserve"> </w:t>
      </w:r>
      <w:r w:rsidRPr="000F3877">
        <w:rPr>
          <w:rFonts w:asciiTheme="majorBidi" w:hAnsiTheme="majorBidi" w:cstheme="majorBidi"/>
          <w:i/>
          <w:iCs/>
          <w:sz w:val="24"/>
          <w:szCs w:val="24"/>
        </w:rPr>
        <w:t>Element</w:t>
      </w:r>
      <w:r w:rsidRPr="000F3877">
        <w:rPr>
          <w:rFonts w:asciiTheme="majorBidi" w:hAnsiTheme="majorBidi" w:cstheme="majorBidi"/>
          <w:sz w:val="24"/>
          <w:szCs w:val="24"/>
        </w:rPr>
        <w:t>) (La P-Box du Zinc fi</w:t>
      </w:r>
      <w:r>
        <w:rPr>
          <w:rFonts w:asciiTheme="majorBidi" w:hAnsiTheme="majorBidi" w:cstheme="majorBidi"/>
          <w:sz w:val="24"/>
          <w:szCs w:val="24"/>
        </w:rPr>
        <w:t xml:space="preserve">nger est le motif impliqué </w:t>
      </w:r>
      <w:r w:rsidRPr="000F3877">
        <w:rPr>
          <w:rFonts w:asciiTheme="majorBidi" w:hAnsiTheme="majorBidi" w:cstheme="majorBidi"/>
          <w:sz w:val="24"/>
          <w:szCs w:val="24"/>
        </w:rPr>
        <w:t xml:space="preserve"> dans la reconnaissan</w:t>
      </w:r>
      <w:r>
        <w:rPr>
          <w:rFonts w:asciiTheme="majorBidi" w:hAnsiTheme="majorBidi" w:cstheme="majorBidi"/>
          <w:sz w:val="24"/>
          <w:szCs w:val="24"/>
        </w:rPr>
        <w:t>ce spécifique du HRE) (Figure 24).</w:t>
      </w:r>
    </w:p>
    <w:p w:rsidR="00B07680" w:rsidRDefault="00B07680" w:rsidP="00B07680">
      <w:pPr>
        <w:pStyle w:val="Paragraphedeliste"/>
        <w:numPr>
          <w:ilvl w:val="0"/>
          <w:numId w:val="2"/>
        </w:numPr>
        <w:autoSpaceDE w:val="0"/>
        <w:autoSpaceDN w:val="0"/>
        <w:adjustRightInd w:val="0"/>
        <w:spacing w:after="0" w:line="360" w:lineRule="auto"/>
        <w:ind w:left="0" w:firstLine="0"/>
        <w:rPr>
          <w:rFonts w:asciiTheme="majorBidi" w:hAnsiTheme="majorBidi" w:cstheme="majorBidi"/>
          <w:sz w:val="24"/>
          <w:szCs w:val="24"/>
        </w:rPr>
      </w:pPr>
      <w:r w:rsidRPr="000F3877">
        <w:rPr>
          <w:rFonts w:asciiTheme="majorBidi" w:hAnsiTheme="majorBidi" w:cstheme="majorBidi"/>
          <w:sz w:val="24"/>
          <w:szCs w:val="24"/>
        </w:rPr>
        <w:t>Il est impliqué dans la dimérisation des récepteurs, en particulier des récepteurs stéroïdiens.</w:t>
      </w:r>
    </w:p>
    <w:p w:rsidR="00B07680" w:rsidRDefault="00B07680" w:rsidP="00B07680">
      <w:pPr>
        <w:autoSpaceDE w:val="0"/>
        <w:autoSpaceDN w:val="0"/>
        <w:adjustRightInd w:val="0"/>
        <w:spacing w:after="0" w:line="360" w:lineRule="auto"/>
        <w:jc w:val="center"/>
        <w:rPr>
          <w:rFonts w:asciiTheme="majorBidi" w:hAnsiTheme="majorBidi" w:cstheme="majorBidi"/>
          <w:sz w:val="24"/>
          <w:szCs w:val="24"/>
        </w:rPr>
      </w:pPr>
      <w:r w:rsidRPr="000F3877">
        <w:rPr>
          <w:rFonts w:asciiTheme="majorBidi" w:hAnsiTheme="majorBidi" w:cstheme="majorBidi"/>
          <w:noProof/>
          <w:sz w:val="24"/>
          <w:szCs w:val="24"/>
        </w:rPr>
        <w:drawing>
          <wp:inline distT="0" distB="0" distL="0" distR="0" wp14:anchorId="6949C61A" wp14:editId="4E41CE8D">
            <wp:extent cx="3693131" cy="3019646"/>
            <wp:effectExtent l="133350" t="114300" r="155575" b="161925"/>
            <wp:docPr id="17" name="Picture 23" descr="http://theses.ulaval.ca/archimede/fichiers/26065/2606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eses.ulaval.ca/archimede/fichiers/26065/26065_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2902" cy="30358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07680" w:rsidRPr="000F3877" w:rsidRDefault="00B07680" w:rsidP="00B07680">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Figure 24</w:t>
      </w:r>
      <w:r w:rsidRPr="000F3877">
        <w:rPr>
          <w:rFonts w:asciiTheme="majorBidi" w:hAnsiTheme="majorBidi" w:cstheme="majorBidi"/>
          <w:b/>
          <w:bCs/>
          <w:sz w:val="24"/>
          <w:szCs w:val="24"/>
        </w:rPr>
        <w:t>: les deux doigts de zinc de la zone DBD</w:t>
      </w: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r w:rsidRPr="000F3877">
        <w:rPr>
          <w:rFonts w:asciiTheme="majorBidi" w:hAnsiTheme="majorBidi" w:cstheme="majorBidi"/>
          <w:b/>
          <w:bCs/>
          <w:i/>
          <w:iCs/>
          <w:sz w:val="24"/>
          <w:szCs w:val="24"/>
        </w:rPr>
        <w:t>- Le domaine charnière D:</w:t>
      </w:r>
      <w:r w:rsidRPr="000F3877">
        <w:rPr>
          <w:rFonts w:asciiTheme="majorBidi" w:hAnsiTheme="majorBidi" w:cstheme="majorBidi"/>
          <w:sz w:val="24"/>
          <w:szCs w:val="24"/>
        </w:rPr>
        <w:t xml:space="preserve"> (ou domaine de jonction)</w:t>
      </w:r>
    </w:p>
    <w:p w:rsidR="00B07680" w:rsidRPr="009F6D2D" w:rsidRDefault="00B07680" w:rsidP="00B07680">
      <w:pPr>
        <w:pStyle w:val="Paragraphedeliste"/>
        <w:numPr>
          <w:ilvl w:val="0"/>
          <w:numId w:val="2"/>
        </w:numPr>
        <w:autoSpaceDE w:val="0"/>
        <w:autoSpaceDN w:val="0"/>
        <w:adjustRightInd w:val="0"/>
        <w:spacing w:after="0" w:line="360" w:lineRule="auto"/>
        <w:ind w:left="0" w:firstLine="0"/>
        <w:rPr>
          <w:rFonts w:asciiTheme="majorBidi" w:hAnsiTheme="majorBidi" w:cstheme="majorBidi"/>
          <w:sz w:val="24"/>
          <w:szCs w:val="24"/>
        </w:rPr>
      </w:pPr>
      <w:r w:rsidRPr="009F6D2D">
        <w:rPr>
          <w:rFonts w:asciiTheme="majorBidi" w:hAnsiTheme="majorBidi" w:cstheme="majorBidi"/>
          <w:sz w:val="24"/>
          <w:szCs w:val="24"/>
        </w:rPr>
        <w:t xml:space="preserve">Il est peu conservé, Il comprend la séquence du signal de localisation nucléaire </w:t>
      </w:r>
      <w:r w:rsidRPr="009F6D2D">
        <w:rPr>
          <w:rFonts w:asciiTheme="majorBidi" w:hAnsiTheme="majorBidi" w:cstheme="majorBidi"/>
          <w:i/>
          <w:iCs/>
          <w:sz w:val="24"/>
          <w:szCs w:val="24"/>
        </w:rPr>
        <w:t>NLS: Nuclear Localisation signal</w:t>
      </w:r>
      <w:r w:rsidRPr="009F6D2D">
        <w:rPr>
          <w:rFonts w:asciiTheme="majorBidi" w:hAnsiTheme="majorBidi" w:cstheme="majorBidi"/>
          <w:sz w:val="24"/>
          <w:szCs w:val="24"/>
        </w:rPr>
        <w:t>.</w:t>
      </w: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r w:rsidRPr="000F3877">
        <w:rPr>
          <w:rFonts w:asciiTheme="majorBidi" w:hAnsiTheme="majorBidi" w:cstheme="majorBidi"/>
          <w:b/>
          <w:bCs/>
          <w:i/>
          <w:iCs/>
          <w:sz w:val="24"/>
          <w:szCs w:val="24"/>
        </w:rPr>
        <w:t>- Le domaine E/F:</w:t>
      </w:r>
    </w:p>
    <w:p w:rsidR="00B07680" w:rsidRPr="009F6D2D"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9F6D2D">
        <w:rPr>
          <w:rFonts w:asciiTheme="majorBidi" w:hAnsiTheme="majorBidi" w:cstheme="majorBidi"/>
          <w:sz w:val="24"/>
          <w:szCs w:val="24"/>
        </w:rPr>
        <w:t>Il est peu conservé, c'est le domaine de liaison au ligand (</w:t>
      </w:r>
      <w:r w:rsidRPr="009F6D2D">
        <w:rPr>
          <w:rFonts w:asciiTheme="majorBidi" w:hAnsiTheme="majorBidi" w:cstheme="majorBidi"/>
          <w:i/>
          <w:iCs/>
          <w:sz w:val="24"/>
          <w:szCs w:val="24"/>
        </w:rPr>
        <w:t>LBD: Ligand Binding Domain</w:t>
      </w:r>
      <w:r w:rsidRPr="009F6D2D">
        <w:rPr>
          <w:rFonts w:asciiTheme="majorBidi" w:hAnsiTheme="majorBidi" w:cstheme="majorBidi"/>
          <w:sz w:val="24"/>
          <w:szCs w:val="24"/>
        </w:rPr>
        <w:t xml:space="preserve">); Il a une activité Transactivatrice dépendante du ligand (due au motif de transactivation </w:t>
      </w:r>
      <w:r w:rsidRPr="009F6D2D">
        <w:rPr>
          <w:rFonts w:asciiTheme="majorBidi" w:hAnsiTheme="majorBidi" w:cstheme="majorBidi"/>
          <w:i/>
          <w:iCs/>
          <w:sz w:val="24"/>
          <w:szCs w:val="24"/>
        </w:rPr>
        <w:t>AF2: ActivatingFunction 2 motif</w:t>
      </w:r>
      <w:r w:rsidRPr="009F6D2D">
        <w:rPr>
          <w:rFonts w:asciiTheme="majorBidi" w:hAnsiTheme="majorBidi" w:cstheme="majorBidi"/>
          <w:sz w:val="24"/>
          <w:szCs w:val="24"/>
        </w:rPr>
        <w:t>); et Il est impliqué dans la dimérisation des récepteurs, en particuliers des récepteurs stéroïdiens.</w:t>
      </w:r>
    </w:p>
    <w:p w:rsidR="00B07680" w:rsidRDefault="00B07680" w:rsidP="00B07680">
      <w:pPr>
        <w:spacing w:line="360" w:lineRule="auto"/>
        <w:rPr>
          <w:rFonts w:asciiTheme="majorBidi" w:eastAsia="Times New Roman" w:hAnsiTheme="majorBidi" w:cstheme="majorBidi"/>
          <w:b/>
          <w:bCs/>
          <w:sz w:val="24"/>
          <w:szCs w:val="24"/>
        </w:rPr>
      </w:pPr>
    </w:p>
    <w:p w:rsidR="00B07680" w:rsidRPr="000F3877" w:rsidRDefault="00B07680" w:rsidP="00B07680">
      <w:pPr>
        <w:spacing w:line="360" w:lineRule="auto"/>
        <w:rPr>
          <w:rFonts w:asciiTheme="majorBidi" w:hAnsiTheme="majorBidi" w:cstheme="majorBidi"/>
          <w:b/>
          <w:bCs/>
          <w:sz w:val="24"/>
          <w:szCs w:val="24"/>
        </w:rPr>
      </w:pPr>
      <w:r w:rsidRPr="000F3877">
        <w:rPr>
          <w:rFonts w:asciiTheme="majorBidi" w:eastAsia="Times New Roman" w:hAnsiTheme="majorBidi" w:cstheme="majorBidi"/>
          <w:b/>
          <w:bCs/>
          <w:sz w:val="24"/>
          <w:szCs w:val="24"/>
        </w:rPr>
        <w:lastRenderedPageBreak/>
        <w:t>IV.2.</w:t>
      </w:r>
      <w:r>
        <w:rPr>
          <w:rFonts w:asciiTheme="majorBidi" w:eastAsia="Times New Roman" w:hAnsiTheme="majorBidi" w:cstheme="majorBidi"/>
          <w:b/>
          <w:bCs/>
          <w:sz w:val="24"/>
          <w:szCs w:val="24"/>
        </w:rPr>
        <w:t>3</w:t>
      </w:r>
      <w:r w:rsidRPr="000F3877">
        <w:rPr>
          <w:rFonts w:asciiTheme="majorBidi" w:eastAsia="Times New Roman" w:hAnsiTheme="majorBidi" w:cstheme="majorBidi"/>
          <w:b/>
          <w:bCs/>
          <w:sz w:val="24"/>
          <w:szCs w:val="24"/>
        </w:rPr>
        <w:t xml:space="preserve"> </w:t>
      </w:r>
      <w:r w:rsidRPr="000F3877">
        <w:rPr>
          <w:rFonts w:asciiTheme="majorBidi" w:hAnsiTheme="majorBidi" w:cstheme="majorBidi"/>
          <w:b/>
          <w:bCs/>
          <w:sz w:val="24"/>
          <w:szCs w:val="24"/>
        </w:rPr>
        <w:t>Interaction Ligand-récepteur :</w:t>
      </w:r>
    </w:p>
    <w:p w:rsidR="00B07680" w:rsidRPr="000F3877" w:rsidRDefault="00B07680" w:rsidP="00B07680">
      <w:pPr>
        <w:autoSpaceDE w:val="0"/>
        <w:autoSpaceDN w:val="0"/>
        <w:adjustRightInd w:val="0"/>
        <w:spacing w:after="0" w:line="360" w:lineRule="auto"/>
        <w:jc w:val="both"/>
        <w:rPr>
          <w:rFonts w:asciiTheme="majorBidi" w:hAnsiTheme="majorBidi" w:cstheme="majorBidi"/>
          <w:sz w:val="24"/>
          <w:szCs w:val="24"/>
          <w:rtl/>
        </w:rPr>
      </w:pPr>
      <w:r w:rsidRPr="000F3877">
        <w:rPr>
          <w:rFonts w:asciiTheme="majorBidi" w:hAnsiTheme="majorBidi" w:cstheme="majorBidi"/>
          <w:sz w:val="24"/>
          <w:szCs w:val="24"/>
        </w:rPr>
        <w:t xml:space="preserve">La fixation du ligand se fait dans le domaine E/F du récepteur nucléaire. Cette dernière contient une fonction activatrice de la transcription dépendante du ligand (AF-2: </w:t>
      </w:r>
      <w:r w:rsidRPr="000F3877">
        <w:rPr>
          <w:rStyle w:val="Accentuation"/>
          <w:rFonts w:asciiTheme="majorBidi" w:hAnsiTheme="majorBidi" w:cstheme="majorBidi"/>
          <w:sz w:val="24"/>
          <w:szCs w:val="24"/>
        </w:rPr>
        <w:t>activation function 2</w:t>
      </w:r>
      <w:r w:rsidRPr="000F3877">
        <w:rPr>
          <w:rFonts w:asciiTheme="majorBidi" w:hAnsiTheme="majorBidi" w:cstheme="majorBidi"/>
          <w:i/>
          <w:iCs/>
          <w:sz w:val="24"/>
          <w:szCs w:val="24"/>
        </w:rPr>
        <w:t xml:space="preserve"> motif)</w:t>
      </w:r>
      <w:r w:rsidRPr="000F3877">
        <w:rPr>
          <w:rFonts w:asciiTheme="majorBidi" w:hAnsiTheme="majorBidi" w:cstheme="majorBidi"/>
          <w:sz w:val="24"/>
          <w:szCs w:val="24"/>
        </w:rPr>
        <w:t xml:space="preserve">, une interface de dimérisation (DD, pour </w:t>
      </w:r>
      <w:r w:rsidRPr="000F3877">
        <w:rPr>
          <w:rStyle w:val="Accentuation"/>
          <w:rFonts w:asciiTheme="majorBidi" w:hAnsiTheme="majorBidi" w:cstheme="majorBidi"/>
          <w:sz w:val="24"/>
          <w:szCs w:val="24"/>
        </w:rPr>
        <w:t>dimerization domain</w:t>
      </w:r>
      <w:r w:rsidRPr="000F3877">
        <w:rPr>
          <w:rFonts w:asciiTheme="majorBidi" w:hAnsiTheme="majorBidi" w:cstheme="majorBidi"/>
          <w:sz w:val="24"/>
          <w:szCs w:val="24"/>
        </w:rPr>
        <w:t>) un domaine d'interaction pour les protéines hsp dans le cas des récepteurs stéroïdiens et parfois un signal de localisation nucléaire .La fonction activatrice AF-2 est dite dépendante du ligand car son rôle est de recruter les co-régulateurs (co-activateurs ou co-répresseurs, selon la présence ou l'absence du ligand) des récepteurs nucléaires</w:t>
      </w:r>
      <w:r w:rsidRPr="000F3877">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0F3877">
        <w:rPr>
          <w:rFonts w:asciiTheme="majorBidi" w:eastAsia="Times New Roman" w:hAnsiTheme="majorBidi" w:cstheme="majorBidi"/>
          <w:sz w:val="24"/>
          <w:szCs w:val="24"/>
        </w:rPr>
        <w:t>La LBD des RNs adopte un repliement de "sandwitche d’hélice.</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 xml:space="preserve">Le récepteur nucléaire existe sous deux formes: </w:t>
      </w:r>
    </w:p>
    <w:p w:rsidR="00B07680" w:rsidRPr="0054628E" w:rsidRDefault="00B07680" w:rsidP="00B07680">
      <w:pPr>
        <w:numPr>
          <w:ilvl w:val="0"/>
          <w:numId w:val="5"/>
        </w:numPr>
        <w:autoSpaceDE w:val="0"/>
        <w:autoSpaceDN w:val="0"/>
        <w:adjustRightInd w:val="0"/>
        <w:spacing w:after="0" w:line="360" w:lineRule="auto"/>
        <w:ind w:left="0" w:firstLine="0"/>
        <w:contextualSpacing/>
        <w:rPr>
          <w:rFonts w:asciiTheme="majorBidi" w:eastAsia="Times New Roman" w:hAnsiTheme="majorBidi" w:cstheme="majorBidi"/>
          <w:sz w:val="24"/>
          <w:szCs w:val="24"/>
        </w:rPr>
      </w:pPr>
      <w:r w:rsidRPr="0054628E">
        <w:rPr>
          <w:rFonts w:asciiTheme="majorBidi" w:eastAsia="Times New Roman" w:hAnsiTheme="majorBidi" w:cstheme="majorBidi"/>
          <w:sz w:val="24"/>
          <w:szCs w:val="24"/>
        </w:rPr>
        <w:t>Une forme libre</w:t>
      </w:r>
      <w:r w:rsidRPr="0054628E">
        <w:rPr>
          <w:rFonts w:asciiTheme="majorBidi" w:eastAsia="Times New Roman" w:hAnsiTheme="majorBidi" w:cstheme="majorBidi"/>
          <w:sz w:val="24"/>
          <w:szCs w:val="24"/>
          <w:u w:val="single"/>
        </w:rPr>
        <w:t>;</w:t>
      </w:r>
      <w:r w:rsidRPr="0054628E">
        <w:rPr>
          <w:rFonts w:asciiTheme="majorBidi" w:eastAsia="Times New Roman" w:hAnsiTheme="majorBidi" w:cstheme="majorBidi"/>
          <w:sz w:val="24"/>
          <w:szCs w:val="24"/>
        </w:rPr>
        <w:t xml:space="preserve"> c’est-à-dire non liée au ligand, le récepteur est donc appelé "aporécepteur";</w:t>
      </w:r>
    </w:p>
    <w:p w:rsidR="00B07680" w:rsidRPr="000F3877" w:rsidRDefault="00B07680" w:rsidP="00B07680">
      <w:pPr>
        <w:numPr>
          <w:ilvl w:val="0"/>
          <w:numId w:val="5"/>
        </w:numPr>
        <w:autoSpaceDE w:val="0"/>
        <w:autoSpaceDN w:val="0"/>
        <w:adjustRightInd w:val="0"/>
        <w:spacing w:after="0" w:line="360" w:lineRule="auto"/>
        <w:ind w:left="0" w:firstLine="0"/>
        <w:contextualSpacing/>
        <w:rPr>
          <w:rFonts w:asciiTheme="majorBidi" w:eastAsia="Times New Roman" w:hAnsiTheme="majorBidi" w:cstheme="majorBidi"/>
          <w:sz w:val="24"/>
          <w:szCs w:val="24"/>
        </w:rPr>
      </w:pPr>
      <w:r w:rsidRPr="0054628E">
        <w:rPr>
          <w:rFonts w:asciiTheme="majorBidi" w:eastAsia="Times New Roman" w:hAnsiTheme="majorBidi" w:cstheme="majorBidi"/>
          <w:sz w:val="24"/>
          <w:szCs w:val="24"/>
        </w:rPr>
        <w:t>Une forme liée au ligand; "holorécepteur</w:t>
      </w:r>
      <w:r w:rsidRPr="000F3877">
        <w:rPr>
          <w:rFonts w:asciiTheme="majorBidi" w:eastAsia="Times New Roman" w:hAnsiTheme="majorBidi" w:cstheme="majorBidi"/>
          <w:sz w:val="24"/>
          <w:szCs w:val="24"/>
        </w:rPr>
        <w:t>".</w:t>
      </w:r>
    </w:p>
    <w:p w:rsidR="00B07680" w:rsidRDefault="00B07680" w:rsidP="00B07680">
      <w:pPr>
        <w:autoSpaceDE w:val="0"/>
        <w:autoSpaceDN w:val="0"/>
        <w:adjustRightInd w:val="0"/>
        <w:spacing w:after="0" w:line="360" w:lineRule="auto"/>
        <w:contextualSpacing/>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L'interaction entre les récepteurs nucléaires et leur ligand a lieu selon deux modes principaux impliquant généralement à la participation de co-régulateurs.</w:t>
      </w:r>
    </w:p>
    <w:p w:rsidR="00B07680" w:rsidRDefault="00B07680" w:rsidP="00B07680">
      <w:pPr>
        <w:spacing w:after="0" w:line="360" w:lineRule="auto"/>
        <w:contextualSpacing/>
        <w:rPr>
          <w:rFonts w:asciiTheme="majorBidi" w:hAnsiTheme="majorBidi" w:cstheme="majorBidi"/>
          <w:b/>
          <w:bCs/>
          <w:sz w:val="24"/>
          <w:szCs w:val="24"/>
        </w:rPr>
      </w:pPr>
      <w:r w:rsidRPr="000F3877">
        <w:rPr>
          <w:rFonts w:asciiTheme="majorBidi" w:eastAsia="Times New Roman" w:hAnsiTheme="majorBidi" w:cstheme="majorBidi"/>
          <w:b/>
          <w:bCs/>
          <w:sz w:val="24"/>
          <w:szCs w:val="24"/>
        </w:rPr>
        <w:t>IV.2.</w:t>
      </w:r>
      <w:r>
        <w:rPr>
          <w:rFonts w:asciiTheme="majorBidi" w:eastAsia="Times New Roman" w:hAnsiTheme="majorBidi" w:cstheme="majorBidi"/>
          <w:b/>
          <w:bCs/>
          <w:sz w:val="24"/>
          <w:szCs w:val="24"/>
        </w:rPr>
        <w:t>-3</w:t>
      </w:r>
      <w:r w:rsidRPr="00E4641F">
        <w:rPr>
          <w:rFonts w:asciiTheme="majorBidi" w:eastAsia="Times New Roman" w:hAnsiTheme="majorBidi" w:cstheme="majorBidi"/>
          <w:b/>
          <w:bCs/>
          <w:sz w:val="24"/>
          <w:szCs w:val="24"/>
        </w:rPr>
        <w:t>.</w:t>
      </w:r>
      <w:r>
        <w:rPr>
          <w:rFonts w:asciiTheme="majorBidi" w:eastAsia="Times New Roman" w:hAnsiTheme="majorBidi" w:cstheme="majorBidi"/>
          <w:b/>
          <w:bCs/>
          <w:sz w:val="24"/>
          <w:szCs w:val="24"/>
        </w:rPr>
        <w:t>-1</w:t>
      </w:r>
      <w:r w:rsidRPr="00E4641F">
        <w:rPr>
          <w:rFonts w:asciiTheme="majorBidi" w:eastAsia="Times New Roman" w:hAnsiTheme="majorBidi" w:cstheme="majorBidi"/>
          <w:b/>
          <w:bCs/>
          <w:sz w:val="24"/>
          <w:szCs w:val="24"/>
        </w:rPr>
        <w:t xml:space="preserve"> Mode d’action d’interaction des récepteurs stéroïdes</w:t>
      </w:r>
      <w:r w:rsidRPr="000F3877">
        <w:rPr>
          <w:rFonts w:asciiTheme="majorBidi" w:eastAsia="Times New Roman" w:hAnsiTheme="majorBidi" w:cstheme="majorBidi"/>
          <w:sz w:val="24"/>
          <w:szCs w:val="24"/>
        </w:rPr>
        <w:t> </w:t>
      </w:r>
    </w:p>
    <w:p w:rsidR="00B07680" w:rsidRPr="000F3877" w:rsidRDefault="00B07680" w:rsidP="00B07680">
      <w:pPr>
        <w:numPr>
          <w:ilvl w:val="0"/>
          <w:numId w:val="2"/>
        </w:numPr>
        <w:autoSpaceDE w:val="0"/>
        <w:autoSpaceDN w:val="0"/>
        <w:adjustRightInd w:val="0"/>
        <w:spacing w:after="0" w:line="360" w:lineRule="auto"/>
        <w:ind w:left="0" w:firstLine="0"/>
        <w:contextualSpacing/>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En l'absence de ligand, l'aporécepteur est séquestré dans le cytoplasme et maintenu sous forme inactive par association à des protéines de choc thermique HSP ou protéines chaperones (HeatShockProteins), en particulier HSP90 et HSP70, qui masquent le signal de localisation nucléaire.</w:t>
      </w:r>
    </w:p>
    <w:p w:rsidR="00B07680" w:rsidRPr="000F3877" w:rsidRDefault="00B07680" w:rsidP="00B07680">
      <w:pPr>
        <w:numPr>
          <w:ilvl w:val="0"/>
          <w:numId w:val="2"/>
        </w:numPr>
        <w:autoSpaceDE w:val="0"/>
        <w:autoSpaceDN w:val="0"/>
        <w:adjustRightInd w:val="0"/>
        <w:spacing w:after="0" w:line="360" w:lineRule="auto"/>
        <w:ind w:left="0" w:firstLine="0"/>
        <w:contextualSpacing/>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En présence du ligand, le récepteur  subit un changement conformationnel qui, en relarguant protéines HSP, démasque le signal de localisation nucléaire. Après migration dans le noyau, l'holorécepteur se fixe à la séquence HRE sous forme d'homodimère. A l'aide de co-régulateurs recrutés, il modifie l'activité transcriptionnelle du gène régulé.</w:t>
      </w:r>
    </w:p>
    <w:p w:rsidR="00B07680" w:rsidRDefault="00B07680" w:rsidP="00B07680">
      <w:pPr>
        <w:autoSpaceDE w:val="0"/>
        <w:autoSpaceDN w:val="0"/>
        <w:adjustRightInd w:val="0"/>
        <w:spacing w:after="0" w:line="360" w:lineRule="auto"/>
        <w:jc w:val="both"/>
        <w:rPr>
          <w:rFonts w:asciiTheme="majorBidi" w:hAnsiTheme="majorBidi" w:cstheme="majorBidi"/>
          <w:sz w:val="24"/>
          <w:szCs w:val="24"/>
        </w:rPr>
      </w:pPr>
      <w:r w:rsidRPr="000F3877">
        <w:rPr>
          <w:rFonts w:asciiTheme="majorBidi" w:hAnsiTheme="majorBidi" w:cstheme="majorBidi"/>
          <w:sz w:val="24"/>
          <w:szCs w:val="24"/>
        </w:rPr>
        <w:t xml:space="preserve">          La transconformation correspond à des modifications structurales du récepteur nucléaire aboutissant à son activation en tant que facteur transcriptionnel. </w:t>
      </w:r>
    </w:p>
    <w:p w:rsidR="00B07680" w:rsidRPr="000F3877" w:rsidRDefault="00B07680" w:rsidP="00B07680">
      <w:pPr>
        <w:autoSpaceDE w:val="0"/>
        <w:autoSpaceDN w:val="0"/>
        <w:adjustRightInd w:val="0"/>
        <w:spacing w:after="0" w:line="360" w:lineRule="auto"/>
        <w:jc w:val="both"/>
        <w:rPr>
          <w:rFonts w:asciiTheme="majorBidi" w:hAnsiTheme="majorBidi" w:cstheme="majorBidi"/>
          <w:sz w:val="24"/>
          <w:szCs w:val="24"/>
        </w:rPr>
      </w:pPr>
      <w:r w:rsidRPr="000F3877">
        <w:rPr>
          <w:rFonts w:asciiTheme="majorBidi" w:hAnsiTheme="majorBidi" w:cstheme="majorBidi"/>
          <w:sz w:val="24"/>
          <w:szCs w:val="24"/>
        </w:rPr>
        <w:t>Deux régions du récepteur sont particulièrement importantes pour ce processus : la région AF1 située en N-terminal et la région AF-2 située en C-terminal. Bien que les régions AF1 et AF2 puissent fonctionner de façon autonome, indépendamment l’une de l’autre, l’interaction entre ces 2 régions est indispensable à une activité transcriptionnelle maxi</w:t>
      </w:r>
      <w:r>
        <w:rPr>
          <w:rFonts w:asciiTheme="majorBidi" w:hAnsiTheme="majorBidi" w:cstheme="majorBidi"/>
          <w:sz w:val="24"/>
          <w:szCs w:val="24"/>
        </w:rPr>
        <w:t>male des récepteurs nucléaires (Figure 25).</w:t>
      </w:r>
    </w:p>
    <w:p w:rsidR="00B07680" w:rsidRPr="000F3877" w:rsidRDefault="00B07680" w:rsidP="00B07680">
      <w:pPr>
        <w:autoSpaceDE w:val="0"/>
        <w:autoSpaceDN w:val="0"/>
        <w:adjustRightInd w:val="0"/>
        <w:spacing w:after="0" w:line="360" w:lineRule="auto"/>
        <w:jc w:val="both"/>
        <w:rPr>
          <w:rFonts w:asciiTheme="majorBidi" w:hAnsiTheme="majorBidi" w:cstheme="majorBidi"/>
          <w:sz w:val="24"/>
          <w:szCs w:val="24"/>
        </w:rPr>
      </w:pPr>
      <w:r w:rsidRPr="000F3877">
        <w:rPr>
          <w:rFonts w:asciiTheme="majorBidi" w:hAnsiTheme="majorBidi" w:cstheme="majorBidi"/>
          <w:sz w:val="24"/>
          <w:szCs w:val="24"/>
        </w:rPr>
        <w:t xml:space="preserve">L’activation du domaine AF1 peut être dépendante ou indépendante du ligand. Elle peut se faire notamment par phosphorylation, et ce indépendamment de la liaison du récepteur au ligand. </w:t>
      </w:r>
    </w:p>
    <w:p w:rsidR="00B07680" w:rsidRDefault="00B07680" w:rsidP="00B07680">
      <w:pPr>
        <w:autoSpaceDE w:val="0"/>
        <w:autoSpaceDN w:val="0"/>
        <w:adjustRightInd w:val="0"/>
        <w:spacing w:after="0" w:line="360" w:lineRule="auto"/>
        <w:jc w:val="both"/>
        <w:rPr>
          <w:rFonts w:asciiTheme="majorBidi" w:hAnsiTheme="majorBidi" w:cstheme="majorBidi"/>
          <w:color w:val="000000" w:themeColor="text1"/>
          <w:sz w:val="24"/>
          <w:szCs w:val="24"/>
        </w:rPr>
      </w:pPr>
      <w:r w:rsidRPr="000F3877">
        <w:rPr>
          <w:rFonts w:asciiTheme="majorBidi" w:hAnsiTheme="majorBidi" w:cstheme="majorBidi"/>
          <w:sz w:val="24"/>
          <w:szCs w:val="24"/>
        </w:rPr>
        <w:lastRenderedPageBreak/>
        <w:t xml:space="preserve">L'AF2, cette région située dans l’hélice H12 du domaine de liaison au ligand, nécessite la liaison préalable du ligand pour être activée. Elle joue un rôle important dans l’activité transcriptionnelle du récepteur nucléaire par sa capacité à interagir avec les </w:t>
      </w:r>
      <w:hyperlink r:id="rId11" w:tgtFrame="_self" w:history="1">
        <w:r w:rsidRPr="005621F0">
          <w:rPr>
            <w:rStyle w:val="Lienhypertexte"/>
            <w:rFonts w:asciiTheme="majorBidi" w:hAnsiTheme="majorBidi" w:cstheme="majorBidi"/>
            <w:color w:val="000000" w:themeColor="text1"/>
            <w:sz w:val="24"/>
            <w:szCs w:val="24"/>
            <w:u w:val="none"/>
          </w:rPr>
          <w:t>cofacteurs</w:t>
        </w:r>
      </w:hyperlink>
      <w:r>
        <w:rPr>
          <w:rStyle w:val="Lienhypertexte"/>
          <w:rFonts w:asciiTheme="majorBidi" w:hAnsiTheme="majorBidi" w:cstheme="majorBidi"/>
          <w:color w:val="000000" w:themeColor="text1"/>
          <w:sz w:val="24"/>
          <w:szCs w:val="24"/>
          <w:u w:val="none"/>
        </w:rPr>
        <w:t xml:space="preserve"> </w:t>
      </w:r>
      <w:r w:rsidRPr="005621F0">
        <w:rPr>
          <w:rFonts w:asciiTheme="majorBidi" w:hAnsiTheme="majorBidi" w:cstheme="majorBidi"/>
          <w:color w:val="000000" w:themeColor="text1"/>
          <w:sz w:val="24"/>
          <w:szCs w:val="24"/>
        </w:rPr>
        <w:t>.</w:t>
      </w:r>
    </w:p>
    <w:p w:rsidR="00B07680" w:rsidRDefault="00B07680" w:rsidP="00B07680">
      <w:pPr>
        <w:autoSpaceDE w:val="0"/>
        <w:autoSpaceDN w:val="0"/>
        <w:adjustRightInd w:val="0"/>
        <w:spacing w:after="0" w:line="360" w:lineRule="auto"/>
        <w:jc w:val="both"/>
        <w:rPr>
          <w:rFonts w:asciiTheme="majorBidi" w:hAnsiTheme="majorBidi" w:cstheme="majorBidi"/>
          <w:color w:val="000000" w:themeColor="text1"/>
          <w:sz w:val="24"/>
          <w:szCs w:val="24"/>
        </w:rPr>
      </w:pPr>
    </w:p>
    <w:p w:rsidR="00B07680" w:rsidRPr="000F3877" w:rsidRDefault="00B07680" w:rsidP="00B07680">
      <w:pPr>
        <w:autoSpaceDE w:val="0"/>
        <w:autoSpaceDN w:val="0"/>
        <w:adjustRightInd w:val="0"/>
        <w:spacing w:after="0" w:line="360" w:lineRule="auto"/>
        <w:jc w:val="both"/>
        <w:rPr>
          <w:rFonts w:asciiTheme="majorBidi" w:hAnsiTheme="majorBidi" w:cstheme="majorBidi"/>
          <w:sz w:val="24"/>
          <w:szCs w:val="24"/>
        </w:rPr>
      </w:pPr>
    </w:p>
    <w:p w:rsidR="00B07680" w:rsidRDefault="00B07680" w:rsidP="00B07680">
      <w:pPr>
        <w:autoSpaceDE w:val="0"/>
        <w:autoSpaceDN w:val="0"/>
        <w:adjustRightInd w:val="0"/>
        <w:spacing w:after="0" w:line="360" w:lineRule="auto"/>
        <w:jc w:val="center"/>
        <w:rPr>
          <w:rFonts w:asciiTheme="majorBidi" w:hAnsiTheme="majorBidi" w:cstheme="majorBidi"/>
          <w:sz w:val="24"/>
          <w:szCs w:val="24"/>
        </w:rPr>
      </w:pPr>
      <w:r w:rsidRPr="000F3877">
        <w:rPr>
          <w:rFonts w:asciiTheme="majorBidi" w:hAnsiTheme="majorBidi" w:cstheme="majorBidi"/>
          <w:noProof/>
          <w:sz w:val="24"/>
          <w:szCs w:val="24"/>
        </w:rPr>
        <w:drawing>
          <wp:inline distT="0" distB="0" distL="0" distR="0" wp14:anchorId="4D9DE1C5" wp14:editId="3CEB27A5">
            <wp:extent cx="3960000" cy="2880000"/>
            <wp:effectExtent l="19050" t="19050" r="21590" b="15875"/>
            <wp:docPr id="7" name="Picture 8" descr="Description: http://upload.wikimedia.org/wikipedia/commons/thumb/3/3f/Nuclear_receptor_action.png/400px-Nuclear_receptor_acti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http://upload.wikimedia.org/wikipedia/commons/thumb/3/3f/Nuclear_receptor_action.png/400px-Nuclear_receptor_action.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880000"/>
                    </a:xfrm>
                    <a:prstGeom prst="rect">
                      <a:avLst/>
                    </a:prstGeom>
                    <a:noFill/>
                    <a:ln w="9525" cmpd="sng">
                      <a:solidFill>
                        <a:sysClr val="windowText" lastClr="000000"/>
                      </a:solidFill>
                      <a:miter lim="800000"/>
                      <a:headEnd/>
                      <a:tailEnd/>
                    </a:ln>
                    <a:effectLst/>
                  </pic:spPr>
                </pic:pic>
              </a:graphicData>
            </a:graphic>
          </wp:inline>
        </w:drawing>
      </w:r>
    </w:p>
    <w:p w:rsidR="00B07680" w:rsidRPr="000F3877" w:rsidRDefault="00B07680" w:rsidP="00B07680">
      <w:pPr>
        <w:autoSpaceDE w:val="0"/>
        <w:autoSpaceDN w:val="0"/>
        <w:adjustRightInd w:val="0"/>
        <w:spacing w:after="0" w:line="360" w:lineRule="auto"/>
        <w:jc w:val="center"/>
        <w:rPr>
          <w:rFonts w:asciiTheme="majorBidi" w:hAnsiTheme="majorBidi" w:cstheme="majorBidi"/>
          <w:sz w:val="24"/>
          <w:szCs w:val="24"/>
        </w:rPr>
      </w:pPr>
    </w:p>
    <w:p w:rsidR="00B07680" w:rsidRPr="003C0875" w:rsidRDefault="00B07680" w:rsidP="00B07680">
      <w:pPr>
        <w:autoSpaceDE w:val="0"/>
        <w:autoSpaceDN w:val="0"/>
        <w:adjustRightInd w:val="0"/>
        <w:spacing w:after="0" w:line="360" w:lineRule="auto"/>
        <w:jc w:val="center"/>
        <w:rPr>
          <w:rFonts w:asciiTheme="majorBidi" w:hAnsiTheme="majorBidi" w:cstheme="majorBidi"/>
          <w:b/>
          <w:bCs/>
          <w:sz w:val="24"/>
          <w:szCs w:val="24"/>
        </w:rPr>
      </w:pPr>
      <w:r w:rsidRPr="003C0875">
        <w:rPr>
          <w:rFonts w:asciiTheme="majorBidi" w:hAnsiTheme="majorBidi" w:cstheme="majorBidi"/>
          <w:b/>
          <w:bCs/>
          <w:sz w:val="24"/>
          <w:szCs w:val="24"/>
        </w:rPr>
        <w:t>Figure 25: Modes d'interaction ligand stéroïdien - récepteur</w:t>
      </w:r>
    </w:p>
    <w:p w:rsidR="00B07680" w:rsidRDefault="00B07680" w:rsidP="00B07680">
      <w:pPr>
        <w:autoSpaceDE w:val="0"/>
        <w:autoSpaceDN w:val="0"/>
        <w:adjustRightInd w:val="0"/>
        <w:spacing w:after="0" w:line="360" w:lineRule="auto"/>
        <w:rPr>
          <w:rFonts w:asciiTheme="majorBidi" w:hAnsiTheme="majorBidi" w:cstheme="majorBidi"/>
          <w:sz w:val="24"/>
          <w:szCs w:val="24"/>
        </w:rPr>
      </w:pPr>
    </w:p>
    <w:p w:rsidR="00B07680" w:rsidRPr="000F3877" w:rsidRDefault="00B07680" w:rsidP="00B07680">
      <w:pPr>
        <w:autoSpaceDE w:val="0"/>
        <w:autoSpaceDN w:val="0"/>
        <w:adjustRightInd w:val="0"/>
        <w:spacing w:after="0" w:line="360" w:lineRule="auto"/>
        <w:rPr>
          <w:rFonts w:asciiTheme="majorBidi" w:hAnsiTheme="majorBidi" w:cstheme="majorBidi"/>
          <w:sz w:val="24"/>
          <w:szCs w:val="24"/>
        </w:rPr>
      </w:pPr>
    </w:p>
    <w:p w:rsidR="00B07680" w:rsidRPr="0029596F" w:rsidRDefault="00B07680" w:rsidP="00B07680">
      <w:pPr>
        <w:pStyle w:val="Paragraphedeliste"/>
        <w:autoSpaceDE w:val="0"/>
        <w:autoSpaceDN w:val="0"/>
        <w:adjustRightInd w:val="0"/>
        <w:spacing w:after="0" w:line="360" w:lineRule="auto"/>
        <w:ind w:left="0"/>
        <w:rPr>
          <w:rFonts w:asciiTheme="majorBidi" w:eastAsia="Times New Roman" w:hAnsiTheme="majorBidi" w:cstheme="majorBidi"/>
          <w:b/>
          <w:bCs/>
          <w:sz w:val="24"/>
          <w:szCs w:val="24"/>
        </w:rPr>
      </w:pPr>
      <w:r w:rsidRPr="000F3877">
        <w:rPr>
          <w:rFonts w:asciiTheme="majorBidi" w:eastAsia="Times New Roman" w:hAnsiTheme="majorBidi" w:cstheme="majorBidi"/>
          <w:b/>
          <w:bCs/>
          <w:sz w:val="24"/>
          <w:szCs w:val="24"/>
        </w:rPr>
        <w:t>IV.2.</w:t>
      </w:r>
      <w:r>
        <w:rPr>
          <w:rFonts w:asciiTheme="majorBidi" w:eastAsia="Times New Roman" w:hAnsiTheme="majorBidi" w:cstheme="majorBidi"/>
          <w:b/>
          <w:bCs/>
          <w:sz w:val="24"/>
          <w:szCs w:val="24"/>
        </w:rPr>
        <w:t>-3</w:t>
      </w:r>
      <w:r w:rsidRPr="00E4641F">
        <w:rPr>
          <w:rFonts w:asciiTheme="majorBidi" w:eastAsia="Times New Roman" w:hAnsiTheme="majorBidi" w:cstheme="majorBidi"/>
          <w:b/>
          <w:bCs/>
          <w:sz w:val="24"/>
          <w:szCs w:val="24"/>
        </w:rPr>
        <w:t>.</w:t>
      </w:r>
      <w:r>
        <w:rPr>
          <w:rFonts w:asciiTheme="majorBidi" w:eastAsia="Times New Roman" w:hAnsiTheme="majorBidi" w:cstheme="majorBidi"/>
          <w:b/>
          <w:bCs/>
          <w:sz w:val="24"/>
          <w:szCs w:val="24"/>
        </w:rPr>
        <w:t>-2</w:t>
      </w:r>
      <w:r w:rsidRPr="0029596F">
        <w:rPr>
          <w:rFonts w:asciiTheme="majorBidi" w:eastAsia="Times New Roman" w:hAnsiTheme="majorBidi" w:cstheme="majorBidi"/>
          <w:b/>
          <w:bCs/>
          <w:sz w:val="24"/>
          <w:szCs w:val="24"/>
        </w:rPr>
        <w:t xml:space="preserve">. Mode d’action des récepteurs non stéroïdiens: </w:t>
      </w:r>
    </w:p>
    <w:p w:rsidR="00B07680" w:rsidRPr="003C0875" w:rsidRDefault="00B07680" w:rsidP="00B07680">
      <w:pPr>
        <w:spacing w:after="0" w:line="360" w:lineRule="auto"/>
        <w:jc w:val="both"/>
        <w:rPr>
          <w:rFonts w:asciiTheme="majorBidi" w:eastAsia="Times New Roman" w:hAnsiTheme="majorBidi" w:cstheme="majorBidi"/>
          <w:sz w:val="24"/>
          <w:szCs w:val="24"/>
        </w:rPr>
      </w:pPr>
      <w:r w:rsidRPr="003C0875">
        <w:rPr>
          <w:rFonts w:asciiTheme="majorBidi" w:eastAsia="Times New Roman" w:hAnsiTheme="majorBidi" w:cstheme="majorBidi"/>
          <w:sz w:val="24"/>
          <w:szCs w:val="24"/>
        </w:rPr>
        <w:t>En l'absence de ligand, l'aporécepteur, localisé dans le noyau, se fixe à la séquence HRE sous forme d'hétérodimère. Il est actif et, à l'aide de corégulateurs recrutés, modifie l'activité du gène régulé.</w:t>
      </w:r>
    </w:p>
    <w:p w:rsidR="00B07680"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En présence du ligand, le récepteur subit un changement conformationnel qui entraine un échange de co-régulateurs, inversant la modification initiale et l'activité tr</w:t>
      </w:r>
      <w:r>
        <w:rPr>
          <w:rFonts w:asciiTheme="majorBidi" w:eastAsia="Times New Roman" w:hAnsiTheme="majorBidi" w:cstheme="majorBidi"/>
          <w:sz w:val="24"/>
          <w:szCs w:val="24"/>
        </w:rPr>
        <w:t>anscriptionnelle du gène régulé (Figure 26).</w:t>
      </w:r>
    </w:p>
    <w:p w:rsidR="00B07680" w:rsidRPr="00D460E1" w:rsidRDefault="00B07680" w:rsidP="00B07680">
      <w:pPr>
        <w:jc w:val="both"/>
      </w:pPr>
    </w:p>
    <w:p w:rsidR="00B07680" w:rsidRDefault="00B07680" w:rsidP="00B07680"/>
    <w:p w:rsidR="00B07680" w:rsidRPr="00D460E1" w:rsidRDefault="00B07680" w:rsidP="00B07680">
      <w:pPr>
        <w:tabs>
          <w:tab w:val="left" w:pos="5779"/>
        </w:tabs>
      </w:pPr>
      <w:r>
        <w:tab/>
      </w:r>
    </w:p>
    <w:p w:rsidR="00B07680" w:rsidRPr="000F3877" w:rsidRDefault="00B07680" w:rsidP="00B07680">
      <w:pPr>
        <w:spacing w:line="360" w:lineRule="auto"/>
        <w:jc w:val="center"/>
        <w:rPr>
          <w:rFonts w:asciiTheme="majorBidi" w:hAnsiTheme="majorBidi" w:cstheme="majorBidi"/>
          <w:b/>
          <w:bCs/>
          <w:sz w:val="24"/>
          <w:szCs w:val="24"/>
          <w:u w:val="single"/>
        </w:rPr>
      </w:pPr>
      <w:r w:rsidRPr="000F3877">
        <w:rPr>
          <w:rFonts w:asciiTheme="majorBidi" w:hAnsiTheme="majorBidi" w:cstheme="majorBidi"/>
          <w:noProof/>
          <w:sz w:val="24"/>
          <w:szCs w:val="24"/>
        </w:rPr>
        <w:lastRenderedPageBreak/>
        <w:drawing>
          <wp:inline distT="0" distB="0" distL="0" distR="0" wp14:anchorId="245CC00E" wp14:editId="1540AE22">
            <wp:extent cx="3960000" cy="2880000"/>
            <wp:effectExtent l="19050" t="19050" r="21590" b="15875"/>
            <wp:docPr id="8" name="Picture 30" descr="Description: File:Type ii nuclear receptor acti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File:Type ii nuclear receptor action.png"/>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2880000"/>
                    </a:xfrm>
                    <a:prstGeom prst="rect">
                      <a:avLst/>
                    </a:prstGeom>
                    <a:noFill/>
                    <a:ln w="9525" cmpd="sng">
                      <a:solidFill>
                        <a:srgbClr val="000000"/>
                      </a:solidFill>
                      <a:miter lim="800000"/>
                      <a:headEnd/>
                      <a:tailEnd/>
                    </a:ln>
                    <a:effectLst/>
                  </pic:spPr>
                </pic:pic>
              </a:graphicData>
            </a:graphic>
          </wp:inline>
        </w:drawing>
      </w:r>
    </w:p>
    <w:p w:rsidR="00B07680" w:rsidRPr="003C0875" w:rsidRDefault="00B07680" w:rsidP="00B07680">
      <w:pPr>
        <w:spacing w:line="360" w:lineRule="auto"/>
        <w:jc w:val="center"/>
        <w:rPr>
          <w:rFonts w:asciiTheme="majorBidi" w:hAnsiTheme="majorBidi" w:cstheme="majorBidi"/>
          <w:b/>
          <w:bCs/>
          <w:sz w:val="24"/>
          <w:szCs w:val="24"/>
        </w:rPr>
      </w:pPr>
      <w:r w:rsidRPr="003C0875">
        <w:rPr>
          <w:rFonts w:asciiTheme="majorBidi" w:hAnsiTheme="majorBidi" w:cstheme="majorBidi"/>
          <w:b/>
          <w:bCs/>
          <w:sz w:val="24"/>
          <w:szCs w:val="24"/>
        </w:rPr>
        <w:t xml:space="preserve">Figure 26: Modes d'interaction ligand non stéroidien –récepteur </w:t>
      </w:r>
    </w:p>
    <w:p w:rsidR="00B07680" w:rsidRDefault="00B07680" w:rsidP="00B07680">
      <w:pPr>
        <w:spacing w:after="0" w:line="360" w:lineRule="auto"/>
        <w:rPr>
          <w:rFonts w:asciiTheme="majorBidi" w:hAnsiTheme="majorBidi" w:cstheme="majorBidi"/>
          <w:b/>
          <w:bCs/>
          <w:sz w:val="24"/>
          <w:szCs w:val="24"/>
        </w:rPr>
      </w:pPr>
      <w:r w:rsidRPr="0029596F">
        <w:rPr>
          <w:rFonts w:asciiTheme="majorBidi" w:eastAsia="Times New Roman" w:hAnsiTheme="majorBidi" w:cstheme="majorBidi"/>
          <w:b/>
          <w:bCs/>
          <w:sz w:val="24"/>
          <w:szCs w:val="24"/>
        </w:rPr>
        <w:t>IV.</w:t>
      </w:r>
      <w:r>
        <w:rPr>
          <w:rFonts w:asciiTheme="majorBidi" w:eastAsia="Times New Roman" w:hAnsiTheme="majorBidi" w:cstheme="majorBidi"/>
          <w:b/>
          <w:bCs/>
          <w:sz w:val="24"/>
          <w:szCs w:val="24"/>
        </w:rPr>
        <w:t xml:space="preserve">-2-4 </w:t>
      </w:r>
      <w:r w:rsidRPr="000F3877">
        <w:rPr>
          <w:rFonts w:asciiTheme="majorBidi" w:hAnsiTheme="majorBidi" w:cstheme="majorBidi"/>
          <w:b/>
          <w:bCs/>
          <w:sz w:val="24"/>
          <w:szCs w:val="24"/>
        </w:rPr>
        <w:t>Interaction Ligand-Récepteur-ADN:</w:t>
      </w:r>
    </w:p>
    <w:p w:rsidR="00B07680" w:rsidRPr="000F3877" w:rsidRDefault="00B07680" w:rsidP="00B07680">
      <w:pPr>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 xml:space="preserve">Les récepteurs nucléaires, en qualité de facteur de transcription, se lient à l'ADN pour contrôler la transcription. </w:t>
      </w:r>
    </w:p>
    <w:p w:rsidR="00B07680" w:rsidRPr="000F3877" w:rsidRDefault="00B07680" w:rsidP="00B07680">
      <w:pPr>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 xml:space="preserve">Les facteurs de transcription interagissent avec la machinerie générale de la transcription au niveau de la chromatine dans la région promotrice d'un gène. Ces facteurs de transcription se fixent par leur zone DBD (du domaine c) au niveau de séquences spécifiques de l'ADN (HRE). </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i/>
          <w:iCs/>
          <w:sz w:val="24"/>
          <w:szCs w:val="24"/>
        </w:rPr>
      </w:pPr>
      <w:r w:rsidRPr="000F3877">
        <w:rPr>
          <w:rFonts w:asciiTheme="majorBidi" w:eastAsia="Times New Roman" w:hAnsiTheme="majorBidi" w:cstheme="majorBidi"/>
          <w:i/>
          <w:iCs/>
          <w:sz w:val="24"/>
          <w:szCs w:val="24"/>
        </w:rPr>
        <w:t>- L'élément de réponse RE:</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L'interaction entre les récepteurs nucléaires et leur séquence RE implique généralement une dimérisation du récepteur. Cette dimérisation a lieu au niveau des zones de dimérisation (hautement conservées) du récepteur dans les domaines C et E/F.</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L'élément de réponse est un élément biparti composé de deux demi-éléments héxanucléotidiques (AGAACA et AGGTCA) séparés par un nombre de nucléotides. Le plus souvent ces deux demi-sites se présentent:</w:t>
      </w:r>
    </w:p>
    <w:p w:rsidR="00B07680" w:rsidRPr="000F3877"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Soit dans le cas des récepteurs stéroïdiens, en répétition inverse (</w:t>
      </w:r>
      <w:r w:rsidRPr="000F3877">
        <w:rPr>
          <w:rFonts w:asciiTheme="majorBidi" w:eastAsia="Times New Roman" w:hAnsiTheme="majorBidi" w:cstheme="majorBidi"/>
          <w:i/>
          <w:iCs/>
          <w:sz w:val="24"/>
          <w:szCs w:val="24"/>
        </w:rPr>
        <w:t>IR: inverted repeat</w:t>
      </w:r>
      <w:r w:rsidRPr="000F3877">
        <w:rPr>
          <w:rFonts w:asciiTheme="majorBidi" w:eastAsia="Times New Roman" w:hAnsiTheme="majorBidi" w:cstheme="majorBidi"/>
          <w:sz w:val="24"/>
          <w:szCs w:val="24"/>
        </w:rPr>
        <w:t>, ou palindrome), et parfois des répétitions éversées (</w:t>
      </w:r>
      <w:r w:rsidRPr="000F3877">
        <w:rPr>
          <w:rFonts w:asciiTheme="majorBidi" w:eastAsia="Times New Roman" w:hAnsiTheme="majorBidi" w:cstheme="majorBidi"/>
          <w:i/>
          <w:iCs/>
          <w:sz w:val="24"/>
          <w:szCs w:val="24"/>
        </w:rPr>
        <w:t>ER: Enverted Rpeat</w:t>
      </w:r>
      <w:r w:rsidRPr="000F3877">
        <w:rPr>
          <w:rFonts w:asciiTheme="majorBidi" w:eastAsia="Times New Roman" w:hAnsiTheme="majorBidi" w:cstheme="majorBidi"/>
          <w:sz w:val="24"/>
          <w:szCs w:val="24"/>
        </w:rPr>
        <w:t>);</w:t>
      </w:r>
    </w:p>
    <w:p w:rsidR="00B07680" w:rsidRPr="000F3877"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Soit dans le cas des récepteurs non stéroidiens, en répétition directe (</w:t>
      </w:r>
      <w:r w:rsidRPr="000F3877">
        <w:rPr>
          <w:rFonts w:asciiTheme="majorBidi" w:eastAsia="Times New Roman" w:hAnsiTheme="majorBidi" w:cstheme="majorBidi"/>
          <w:i/>
          <w:iCs/>
          <w:sz w:val="24"/>
          <w:szCs w:val="24"/>
        </w:rPr>
        <w:t>DR: Direct Repeat)</w:t>
      </w:r>
      <w:r w:rsidRPr="000F3877">
        <w:rPr>
          <w:rFonts w:asciiTheme="majorBidi" w:eastAsia="Times New Roman" w:hAnsiTheme="majorBidi" w:cstheme="majorBidi"/>
          <w:sz w:val="24"/>
          <w:szCs w:val="24"/>
        </w:rPr>
        <w:t>.</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 xml:space="preserve"> Deux motifs hexanucléotidiques principaux sont récurrents: AGAACA et AGGTCA.</w:t>
      </w:r>
    </w:p>
    <w:p w:rsidR="00B07680" w:rsidRPr="000F3877" w:rsidRDefault="00B07680" w:rsidP="00B07680">
      <w:pPr>
        <w:autoSpaceDE w:val="0"/>
        <w:autoSpaceDN w:val="0"/>
        <w:adjustRightInd w:val="0"/>
        <w:spacing w:after="0" w:line="360" w:lineRule="auto"/>
        <w:jc w:val="both"/>
        <w:rPr>
          <w:rFonts w:asciiTheme="majorBidi" w:hAnsiTheme="majorBidi" w:cstheme="majorBidi"/>
          <w:sz w:val="24"/>
          <w:szCs w:val="24"/>
        </w:rPr>
      </w:pPr>
      <w:r w:rsidRPr="000F3877">
        <w:rPr>
          <w:rFonts w:asciiTheme="majorBidi" w:hAnsiTheme="majorBidi" w:cstheme="majorBidi"/>
          <w:sz w:val="24"/>
          <w:szCs w:val="24"/>
        </w:rPr>
        <w:t>A chaque demi-élément se fixe un monomère du récepteur. Deux cas sont fréquents:</w:t>
      </w:r>
    </w:p>
    <w:p w:rsidR="00B07680" w:rsidRPr="000F3877"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0F3877">
        <w:rPr>
          <w:rFonts w:asciiTheme="majorBidi" w:hAnsiTheme="majorBidi" w:cstheme="majorBidi"/>
          <w:sz w:val="24"/>
          <w:szCs w:val="24"/>
        </w:rPr>
        <w:t>Où les deux monomères sont identiques: c'est une homodimérisation propre aux récepteurs stéroïdiens.</w:t>
      </w:r>
    </w:p>
    <w:p w:rsidR="00B07680" w:rsidRPr="000F3877" w:rsidRDefault="00B07680" w:rsidP="00B07680">
      <w:pPr>
        <w:pStyle w:val="Paragraphedeliste"/>
        <w:numPr>
          <w:ilvl w:val="0"/>
          <w:numId w:val="2"/>
        </w:numPr>
        <w:autoSpaceDE w:val="0"/>
        <w:autoSpaceDN w:val="0"/>
        <w:adjustRightInd w:val="0"/>
        <w:spacing w:after="0" w:line="360" w:lineRule="auto"/>
        <w:ind w:left="0" w:firstLine="0"/>
        <w:jc w:val="both"/>
        <w:rPr>
          <w:rFonts w:asciiTheme="majorBidi" w:hAnsiTheme="majorBidi" w:cstheme="majorBidi"/>
          <w:sz w:val="24"/>
          <w:szCs w:val="24"/>
        </w:rPr>
      </w:pPr>
      <w:r w:rsidRPr="000F3877">
        <w:rPr>
          <w:rFonts w:asciiTheme="majorBidi" w:hAnsiTheme="majorBidi" w:cstheme="majorBidi"/>
          <w:sz w:val="24"/>
          <w:szCs w:val="24"/>
        </w:rPr>
        <w:lastRenderedPageBreak/>
        <w:t>Où les deux monomères sont différents, l'un d'eux étant le plus souvent le récepteur X des rétinoides (RXR). Cette hétérodimérisation est propre aux récepteurs non stéroïdiens.</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Le récepteur peut aussi se fixer à l'ADN sous forme monomérique, c'est le cas de la plupart des récepteurs orphelins.</w:t>
      </w:r>
    </w:p>
    <w:p w:rsidR="00B07680" w:rsidRPr="000F3877" w:rsidRDefault="00B07680" w:rsidP="00B07680">
      <w:pPr>
        <w:autoSpaceDE w:val="0"/>
        <w:autoSpaceDN w:val="0"/>
        <w:adjustRightInd w:val="0"/>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La spécificité de liaison récepteur – ADN tient ainsi à la séquence des demi-éléments, à leur orientation et à leur espacement.</w:t>
      </w:r>
    </w:p>
    <w:p w:rsidR="00B07680" w:rsidRPr="004076D6" w:rsidRDefault="00B07680" w:rsidP="00B07680">
      <w:pPr>
        <w:spacing w:line="360" w:lineRule="auto"/>
        <w:jc w:val="both"/>
        <w:rPr>
          <w:rFonts w:asciiTheme="majorBidi" w:hAnsiTheme="majorBidi" w:cstheme="majorBidi"/>
          <w:b/>
          <w:bCs/>
          <w:sz w:val="24"/>
          <w:szCs w:val="24"/>
          <w:u w:val="single"/>
        </w:rPr>
      </w:pPr>
      <w:r w:rsidRPr="0029596F">
        <w:rPr>
          <w:rFonts w:asciiTheme="majorBidi" w:eastAsia="Times New Roman" w:hAnsiTheme="majorBidi" w:cstheme="majorBidi"/>
          <w:b/>
          <w:bCs/>
          <w:sz w:val="24"/>
          <w:szCs w:val="24"/>
        </w:rPr>
        <w:t>IV.2.</w:t>
      </w:r>
      <w:r>
        <w:rPr>
          <w:rFonts w:asciiTheme="majorBidi" w:eastAsia="Times New Roman" w:hAnsiTheme="majorBidi" w:cstheme="majorBidi"/>
          <w:b/>
          <w:bCs/>
          <w:sz w:val="24"/>
          <w:szCs w:val="24"/>
        </w:rPr>
        <w:t xml:space="preserve">5 </w:t>
      </w:r>
      <w:r w:rsidRPr="000F3877">
        <w:rPr>
          <w:rFonts w:asciiTheme="majorBidi" w:hAnsiTheme="majorBidi" w:cstheme="majorBidi"/>
          <w:b/>
          <w:bCs/>
          <w:sz w:val="24"/>
          <w:szCs w:val="24"/>
        </w:rPr>
        <w:t xml:space="preserve"> Mécanismes d’action des récepteurs nucléaires</w:t>
      </w:r>
    </w:p>
    <w:p w:rsidR="00B07680" w:rsidRPr="000F3877" w:rsidRDefault="00B07680" w:rsidP="00B07680">
      <w:pPr>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Tous les phénomènes modulant la structure chromatinienne sont impliqués dans la régulation de la liaison des facteurs de transcription à l’ADN et, par conséquent, dans le contrôle de la transcription.</w:t>
      </w:r>
    </w:p>
    <w:p w:rsidR="00B07680" w:rsidRPr="000F3877" w:rsidRDefault="00B07680" w:rsidP="00B07680">
      <w:pPr>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Lorsque le récepteur est lié à l'hormone (ligand), l'élément de réponse de l'hormone est régulé:</w:t>
      </w:r>
    </w:p>
    <w:p w:rsidR="00B07680" w:rsidRPr="000F3877" w:rsidRDefault="00B07680" w:rsidP="00B07680">
      <w:pPr>
        <w:numPr>
          <w:ilvl w:val="0"/>
          <w:numId w:val="2"/>
        </w:numPr>
        <w:spacing w:after="0" w:line="360" w:lineRule="auto"/>
        <w:ind w:left="0" w:firstLine="0"/>
        <w:contextualSpacing/>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Soit positivement et l'expression du gène est activée;</w:t>
      </w:r>
    </w:p>
    <w:p w:rsidR="00B07680" w:rsidRPr="000F3877" w:rsidRDefault="00B07680" w:rsidP="00B07680">
      <w:pPr>
        <w:numPr>
          <w:ilvl w:val="0"/>
          <w:numId w:val="2"/>
        </w:numPr>
        <w:spacing w:after="0" w:line="360" w:lineRule="auto"/>
        <w:ind w:left="0" w:firstLine="0"/>
        <w:contextualSpacing/>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Soit négativement et l'expression du gène est inhibée.</w:t>
      </w:r>
    </w:p>
    <w:p w:rsidR="00B07680" w:rsidRDefault="00B07680" w:rsidP="00B07680">
      <w:pPr>
        <w:spacing w:after="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Dans la plus part des cas, le récepteur fixé sur l'élément de réponse recrute des co-régulateurs qui interagissent avec les facteurs généraux formant un complexe d'initiation de la transcription ce qui provoque une augmentation ou une diminution de l'activité transcriptionelle de base.</w:t>
      </w: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after="0" w:line="360" w:lineRule="auto"/>
        <w:jc w:val="both"/>
        <w:rPr>
          <w:rFonts w:asciiTheme="majorBidi" w:eastAsia="Times New Roman" w:hAnsiTheme="majorBidi" w:cstheme="majorBidi"/>
          <w:sz w:val="24"/>
          <w:szCs w:val="24"/>
        </w:rPr>
      </w:pPr>
    </w:p>
    <w:p w:rsidR="00B07680" w:rsidRDefault="00B07680" w:rsidP="00B07680">
      <w:pPr>
        <w:spacing w:before="100" w:beforeAutospacing="1" w:after="30" w:line="360" w:lineRule="auto"/>
        <w:jc w:val="both"/>
        <w:outlineLvl w:val="1"/>
        <w:rPr>
          <w:rFonts w:asciiTheme="majorBidi" w:hAnsiTheme="majorBidi" w:cstheme="majorBidi"/>
          <w:b/>
          <w:bCs/>
          <w:sz w:val="24"/>
          <w:szCs w:val="24"/>
        </w:rPr>
      </w:pPr>
    </w:p>
    <w:p w:rsidR="00B07680" w:rsidRDefault="00B07680" w:rsidP="00B07680">
      <w:pPr>
        <w:spacing w:before="100" w:beforeAutospacing="1" w:after="30" w:line="360" w:lineRule="auto"/>
        <w:jc w:val="both"/>
        <w:outlineLvl w:val="1"/>
        <w:rPr>
          <w:rFonts w:asciiTheme="majorBidi" w:hAnsiTheme="majorBidi" w:cstheme="majorBidi"/>
          <w:b/>
          <w:bCs/>
          <w:sz w:val="24"/>
          <w:szCs w:val="24"/>
        </w:rPr>
      </w:pPr>
    </w:p>
    <w:p w:rsidR="00B07680" w:rsidRDefault="00B07680" w:rsidP="00B07680">
      <w:pPr>
        <w:spacing w:before="100" w:beforeAutospacing="1" w:after="30" w:line="360" w:lineRule="auto"/>
        <w:jc w:val="both"/>
        <w:outlineLvl w:val="1"/>
        <w:rPr>
          <w:rFonts w:asciiTheme="majorBidi" w:hAnsiTheme="majorBidi" w:cstheme="majorBidi"/>
          <w:b/>
          <w:bCs/>
          <w:sz w:val="24"/>
          <w:szCs w:val="24"/>
        </w:rPr>
      </w:pPr>
    </w:p>
    <w:p w:rsidR="00B07680" w:rsidRDefault="00B07680" w:rsidP="00B07680">
      <w:pPr>
        <w:spacing w:before="100" w:beforeAutospacing="1" w:after="30" w:line="360" w:lineRule="auto"/>
        <w:jc w:val="both"/>
        <w:outlineLvl w:val="1"/>
        <w:rPr>
          <w:rFonts w:asciiTheme="majorBidi" w:hAnsiTheme="majorBidi" w:cstheme="majorBidi"/>
          <w:b/>
          <w:bCs/>
          <w:sz w:val="24"/>
          <w:szCs w:val="24"/>
        </w:rPr>
      </w:pPr>
    </w:p>
    <w:p w:rsidR="00B07680" w:rsidRPr="000F3877" w:rsidRDefault="00B07680" w:rsidP="00B07680">
      <w:pPr>
        <w:spacing w:before="100" w:beforeAutospacing="1" w:after="30" w:line="360" w:lineRule="auto"/>
        <w:jc w:val="both"/>
        <w:outlineLvl w:val="1"/>
        <w:rPr>
          <w:rFonts w:asciiTheme="majorBidi" w:hAnsiTheme="majorBidi" w:cstheme="majorBidi"/>
          <w:b/>
          <w:bCs/>
          <w:sz w:val="24"/>
          <w:szCs w:val="24"/>
        </w:rPr>
      </w:pPr>
      <w:bookmarkStart w:id="0" w:name="_GoBack"/>
      <w:bookmarkEnd w:id="0"/>
      <w:r w:rsidRPr="000F3877">
        <w:rPr>
          <w:rFonts w:asciiTheme="majorBidi" w:hAnsiTheme="majorBidi" w:cstheme="majorBidi"/>
          <w:b/>
          <w:bCs/>
          <w:sz w:val="24"/>
          <w:szCs w:val="24"/>
        </w:rPr>
        <w:t xml:space="preserve">IV-3 Les principaux seconds messagers </w:t>
      </w:r>
    </w:p>
    <w:p w:rsidR="00B07680" w:rsidRPr="000F3877" w:rsidRDefault="00B07680" w:rsidP="00B07680">
      <w:pPr>
        <w:spacing w:after="0" w:line="360" w:lineRule="auto"/>
        <w:jc w:val="both"/>
        <w:outlineLvl w:val="1"/>
        <w:rPr>
          <w:rFonts w:asciiTheme="majorBidi" w:hAnsiTheme="majorBidi" w:cstheme="majorBidi"/>
          <w:sz w:val="24"/>
          <w:szCs w:val="24"/>
        </w:rPr>
      </w:pPr>
      <w:r w:rsidRPr="000F3877">
        <w:rPr>
          <w:rFonts w:asciiTheme="majorBidi" w:hAnsiTheme="majorBidi" w:cstheme="majorBidi"/>
          <w:sz w:val="24"/>
          <w:szCs w:val="24"/>
        </w:rPr>
        <w:t xml:space="preserve">Dans un certain nombre de voies de signalisation, de petites molécules dont les concentrations sont strictement dépendantes des concentrations extracellulaires des ligands, sont des intermédiaires intracellulaires des réponses physiologiques à ces ligands. Pour cette raison, elles sont appelées seconds messagers </w:t>
      </w:r>
    </w:p>
    <w:p w:rsidR="00B07680" w:rsidRPr="000F3877" w:rsidRDefault="00B07680" w:rsidP="00B07680">
      <w:pPr>
        <w:spacing w:after="0" w:line="360" w:lineRule="auto"/>
        <w:jc w:val="both"/>
        <w:outlineLvl w:val="1"/>
        <w:rPr>
          <w:rFonts w:asciiTheme="majorBidi" w:hAnsiTheme="majorBidi" w:cstheme="majorBidi"/>
          <w:sz w:val="24"/>
          <w:szCs w:val="24"/>
        </w:rPr>
      </w:pPr>
      <w:r w:rsidRPr="000F3877">
        <w:rPr>
          <w:rFonts w:asciiTheme="majorBidi" w:hAnsiTheme="majorBidi" w:cstheme="majorBidi"/>
          <w:sz w:val="24"/>
          <w:szCs w:val="24"/>
        </w:rPr>
        <w:t>Ces seconds messagers sont soit néosynthétisés  soit simplement autorisés à pénétrer dans la cellule en réponse au ligand.</w:t>
      </w:r>
    </w:p>
    <w:p w:rsidR="00B07680" w:rsidRPr="000F3877" w:rsidRDefault="00B07680" w:rsidP="00B07680">
      <w:pPr>
        <w:spacing w:after="0" w:line="360" w:lineRule="auto"/>
        <w:jc w:val="both"/>
        <w:outlineLvl w:val="1"/>
        <w:rPr>
          <w:rFonts w:asciiTheme="majorBidi" w:hAnsiTheme="majorBidi" w:cstheme="majorBidi"/>
          <w:sz w:val="24"/>
          <w:szCs w:val="24"/>
        </w:rPr>
      </w:pPr>
      <w:r w:rsidRPr="000F3877">
        <w:rPr>
          <w:rFonts w:asciiTheme="majorBidi" w:hAnsiTheme="majorBidi" w:cstheme="majorBidi"/>
          <w:sz w:val="24"/>
          <w:szCs w:val="24"/>
        </w:rPr>
        <w:t>Les seconds messagers importés via les canaux sont essentiellement des ions d’où le nom de récepteurs ionotropiques donné aux récepteurs canaux.</w:t>
      </w:r>
    </w:p>
    <w:p w:rsidR="00B07680" w:rsidRPr="000F3877" w:rsidRDefault="00B07680" w:rsidP="00B07680">
      <w:pPr>
        <w:spacing w:after="0" w:line="360" w:lineRule="auto"/>
        <w:jc w:val="both"/>
        <w:outlineLvl w:val="1"/>
        <w:rPr>
          <w:rFonts w:asciiTheme="majorBidi" w:hAnsiTheme="majorBidi" w:cstheme="majorBidi"/>
          <w:sz w:val="24"/>
          <w:szCs w:val="24"/>
        </w:rPr>
      </w:pPr>
      <w:r w:rsidRPr="000F3877">
        <w:rPr>
          <w:rFonts w:asciiTheme="majorBidi" w:hAnsiTheme="majorBidi" w:cstheme="majorBidi"/>
          <w:sz w:val="24"/>
          <w:szCs w:val="24"/>
        </w:rPr>
        <w:t xml:space="preserve">La concentration variable d’une ou plusieurs de ces seconds messagers affecte rapidement ou fortement, de manière positive ou négative, le fonctionnement de protéines cibles. Ils modifient ainsi des fonctions cellulaires telles que la sécrétion de protéines, prolifération ou la différenciation cellulaire. </w:t>
      </w:r>
    </w:p>
    <w:p w:rsidR="00B07680" w:rsidRPr="000F3877" w:rsidRDefault="00B07680" w:rsidP="00B07680">
      <w:pPr>
        <w:spacing w:after="0" w:line="360" w:lineRule="auto"/>
        <w:jc w:val="both"/>
        <w:outlineLvl w:val="1"/>
        <w:rPr>
          <w:rFonts w:asciiTheme="majorBidi" w:hAnsiTheme="majorBidi" w:cstheme="majorBidi"/>
          <w:sz w:val="24"/>
          <w:szCs w:val="24"/>
        </w:rPr>
      </w:pPr>
      <w:r w:rsidRPr="000F3877">
        <w:rPr>
          <w:rFonts w:asciiTheme="majorBidi" w:hAnsiTheme="majorBidi" w:cstheme="majorBidi"/>
          <w:sz w:val="24"/>
          <w:szCs w:val="24"/>
        </w:rPr>
        <w:t xml:space="preserve">Une seule molécule de ligand  fixée sur le récepteur fait apparaitre des centaines de molécules de messagers  secondaires intracellulaires. La dégradation de ces derniers représente l’un des éléments qui mettent fin à la réponse cellulaire </w:t>
      </w:r>
    </w:p>
    <w:p w:rsidR="00B07680" w:rsidRPr="000F3877" w:rsidRDefault="00B07680" w:rsidP="00B07680">
      <w:pPr>
        <w:spacing w:after="0" w:line="360" w:lineRule="auto"/>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Les seconds messagers appartiennent  à diverses catégories de corps chimiques</w:t>
      </w:r>
    </w:p>
    <w:p w:rsidR="00B07680" w:rsidRPr="000F3877" w:rsidRDefault="00B07680" w:rsidP="00B07680">
      <w:pPr>
        <w:numPr>
          <w:ilvl w:val="0"/>
          <w:numId w:val="3"/>
        </w:numPr>
        <w:spacing w:after="0" w:line="360" w:lineRule="auto"/>
        <w:ind w:left="0" w:firstLine="0"/>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Des ions (Ca</w:t>
      </w:r>
      <w:r w:rsidRPr="000F3877">
        <w:rPr>
          <w:rFonts w:asciiTheme="majorBidi" w:eastAsia="Times New Roman" w:hAnsiTheme="majorBidi" w:cstheme="majorBidi"/>
          <w:sz w:val="24"/>
          <w:szCs w:val="24"/>
          <w:vertAlign w:val="superscript"/>
        </w:rPr>
        <w:t>++</w:t>
      </w:r>
      <w:r w:rsidRPr="000F3877">
        <w:rPr>
          <w:rFonts w:asciiTheme="majorBidi" w:eastAsia="Times New Roman" w:hAnsiTheme="majorBidi" w:cstheme="majorBidi"/>
          <w:sz w:val="24"/>
          <w:szCs w:val="24"/>
        </w:rPr>
        <w:t>, H</w:t>
      </w:r>
      <w:r w:rsidRPr="000F3877">
        <w:rPr>
          <w:rFonts w:asciiTheme="majorBidi" w:eastAsia="Times New Roman" w:hAnsiTheme="majorBidi" w:cstheme="majorBidi"/>
          <w:sz w:val="24"/>
          <w:szCs w:val="24"/>
          <w:vertAlign w:val="superscript"/>
        </w:rPr>
        <w:t>+</w:t>
      </w:r>
      <w:r w:rsidRPr="000F3877">
        <w:rPr>
          <w:rFonts w:asciiTheme="majorBidi" w:eastAsia="Times New Roman" w:hAnsiTheme="majorBidi" w:cstheme="majorBidi"/>
          <w:sz w:val="24"/>
          <w:szCs w:val="24"/>
        </w:rPr>
        <w:t>, Fe</w:t>
      </w:r>
      <w:r w:rsidRPr="000F3877">
        <w:rPr>
          <w:rFonts w:asciiTheme="majorBidi" w:eastAsia="Times New Roman" w:hAnsiTheme="majorBidi" w:cstheme="majorBidi"/>
          <w:sz w:val="24"/>
          <w:szCs w:val="24"/>
          <w:vertAlign w:val="superscript"/>
        </w:rPr>
        <w:t>++</w:t>
      </w:r>
      <w:r w:rsidRPr="000F3877">
        <w:rPr>
          <w:rFonts w:asciiTheme="majorBidi" w:eastAsia="Times New Roman" w:hAnsiTheme="majorBidi" w:cstheme="majorBidi"/>
          <w:sz w:val="24"/>
          <w:szCs w:val="24"/>
        </w:rPr>
        <w:t>) servent de signaux intracellulaires.</w:t>
      </w:r>
    </w:p>
    <w:p w:rsidR="00B07680" w:rsidRPr="000F3877" w:rsidRDefault="00B07680" w:rsidP="00B07680">
      <w:pPr>
        <w:numPr>
          <w:ilvl w:val="0"/>
          <w:numId w:val="3"/>
        </w:numPr>
        <w:spacing w:after="0" w:line="360" w:lineRule="auto"/>
        <w:ind w:left="0" w:firstLine="0"/>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Des esters phosphoriques d’alcools rencontrés dans la structure des lipides complexes, comme l’inositol.</w:t>
      </w:r>
    </w:p>
    <w:p w:rsidR="00B07680" w:rsidRPr="000F3877" w:rsidRDefault="00B07680" w:rsidP="00B07680">
      <w:pPr>
        <w:numPr>
          <w:ilvl w:val="0"/>
          <w:numId w:val="3"/>
        </w:numPr>
        <w:spacing w:after="0" w:line="360" w:lineRule="auto"/>
        <w:ind w:left="0" w:firstLine="0"/>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Des nucléotides particuliers sont les plus importants des messagers intracellulaires.</w:t>
      </w:r>
    </w:p>
    <w:p w:rsidR="00B07680" w:rsidRPr="000F3877" w:rsidRDefault="00B07680" w:rsidP="00B07680">
      <w:pPr>
        <w:numPr>
          <w:ilvl w:val="0"/>
          <w:numId w:val="3"/>
        </w:numPr>
        <w:spacing w:after="0" w:line="360" w:lineRule="auto"/>
        <w:ind w:left="0" w:firstLine="0"/>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Enfin, des lipides membranaires peuvent intervenir pour transmettre le signal reconnu par un récepteur.</w:t>
      </w:r>
    </w:p>
    <w:p w:rsidR="00B07680" w:rsidRPr="000F3877" w:rsidRDefault="00B07680" w:rsidP="00B07680">
      <w:pPr>
        <w:spacing w:after="0" w:line="360" w:lineRule="auto"/>
        <w:outlineLvl w:val="1"/>
        <w:rPr>
          <w:rFonts w:asciiTheme="majorBidi" w:hAnsiTheme="majorBidi" w:cstheme="majorBidi"/>
          <w:sz w:val="24"/>
          <w:szCs w:val="24"/>
        </w:rPr>
      </w:pPr>
      <w:r w:rsidRPr="000F3877">
        <w:rPr>
          <w:rFonts w:asciiTheme="majorBidi" w:hAnsiTheme="majorBidi" w:cstheme="majorBidi"/>
          <w:sz w:val="24"/>
          <w:szCs w:val="24"/>
        </w:rPr>
        <w:t xml:space="preserve">Les principaux seconds messagers sont </w:t>
      </w:r>
    </w:p>
    <w:p w:rsidR="00B07680" w:rsidRPr="000F3877" w:rsidRDefault="00B07680" w:rsidP="00B07680">
      <w:pPr>
        <w:pStyle w:val="Paragraphedeliste"/>
        <w:numPr>
          <w:ilvl w:val="1"/>
          <w:numId w:val="1"/>
        </w:numPr>
        <w:spacing w:after="0" w:line="360" w:lineRule="auto"/>
        <w:ind w:left="0" w:firstLine="0"/>
        <w:outlineLvl w:val="1"/>
        <w:rPr>
          <w:rFonts w:asciiTheme="majorBidi" w:hAnsiTheme="majorBidi" w:cstheme="majorBidi"/>
          <w:sz w:val="24"/>
          <w:szCs w:val="24"/>
        </w:rPr>
      </w:pPr>
      <w:r w:rsidRPr="000F3877">
        <w:rPr>
          <w:rFonts w:asciiTheme="majorBidi" w:hAnsiTheme="majorBidi" w:cstheme="majorBidi"/>
          <w:sz w:val="24"/>
          <w:szCs w:val="24"/>
        </w:rPr>
        <w:t>AMPc</w:t>
      </w:r>
    </w:p>
    <w:p w:rsidR="00B07680" w:rsidRPr="000F3877" w:rsidRDefault="00B07680" w:rsidP="00B07680">
      <w:pPr>
        <w:pStyle w:val="Paragraphedeliste"/>
        <w:numPr>
          <w:ilvl w:val="1"/>
          <w:numId w:val="1"/>
        </w:numPr>
        <w:spacing w:after="0" w:line="360" w:lineRule="auto"/>
        <w:ind w:left="0" w:firstLine="0"/>
        <w:outlineLvl w:val="1"/>
        <w:rPr>
          <w:rFonts w:asciiTheme="majorBidi" w:hAnsiTheme="majorBidi" w:cstheme="majorBidi"/>
          <w:sz w:val="24"/>
          <w:szCs w:val="24"/>
        </w:rPr>
      </w:pPr>
      <w:r w:rsidRPr="000F3877">
        <w:rPr>
          <w:rFonts w:asciiTheme="majorBidi" w:hAnsiTheme="majorBidi" w:cstheme="majorBidi"/>
          <w:sz w:val="24"/>
          <w:szCs w:val="24"/>
        </w:rPr>
        <w:t>Guanosine monophosphate cyclique : GMPc</w:t>
      </w:r>
    </w:p>
    <w:p w:rsidR="00B07680" w:rsidRPr="000F3877" w:rsidRDefault="00B07680" w:rsidP="00B07680">
      <w:pPr>
        <w:pStyle w:val="Paragraphedeliste"/>
        <w:numPr>
          <w:ilvl w:val="1"/>
          <w:numId w:val="1"/>
        </w:numPr>
        <w:spacing w:after="0" w:line="360" w:lineRule="auto"/>
        <w:ind w:left="0" w:firstLine="0"/>
        <w:outlineLvl w:val="1"/>
        <w:rPr>
          <w:rFonts w:asciiTheme="majorBidi" w:hAnsiTheme="majorBidi" w:cstheme="majorBidi"/>
          <w:sz w:val="24"/>
          <w:szCs w:val="24"/>
        </w:rPr>
      </w:pPr>
      <w:r w:rsidRPr="000F3877">
        <w:rPr>
          <w:rFonts w:asciiTheme="majorBidi" w:hAnsiTheme="majorBidi" w:cstheme="majorBidi"/>
          <w:sz w:val="24"/>
          <w:szCs w:val="24"/>
        </w:rPr>
        <w:t xml:space="preserve">Diacylglycérol (DAG) </w:t>
      </w:r>
    </w:p>
    <w:p w:rsidR="00B07680" w:rsidRPr="000F3877" w:rsidRDefault="00B07680" w:rsidP="00B07680">
      <w:pPr>
        <w:pStyle w:val="Paragraphedeliste"/>
        <w:numPr>
          <w:ilvl w:val="1"/>
          <w:numId w:val="1"/>
        </w:numPr>
        <w:spacing w:after="0" w:line="360" w:lineRule="auto"/>
        <w:ind w:left="0" w:firstLine="0"/>
        <w:outlineLvl w:val="1"/>
        <w:rPr>
          <w:rFonts w:asciiTheme="majorBidi" w:hAnsiTheme="majorBidi" w:cstheme="majorBidi"/>
          <w:sz w:val="24"/>
          <w:szCs w:val="24"/>
        </w:rPr>
      </w:pPr>
      <w:r w:rsidRPr="000F3877">
        <w:rPr>
          <w:rFonts w:asciiTheme="majorBidi" w:hAnsiTheme="majorBidi" w:cstheme="majorBidi"/>
          <w:sz w:val="24"/>
          <w:szCs w:val="24"/>
        </w:rPr>
        <w:t>Inositol-triphosphate (IP3)</w:t>
      </w:r>
    </w:p>
    <w:p w:rsidR="00B07680" w:rsidRPr="000F3877" w:rsidRDefault="00B07680" w:rsidP="00B07680">
      <w:pPr>
        <w:pStyle w:val="Paragraphedeliste"/>
        <w:numPr>
          <w:ilvl w:val="1"/>
          <w:numId w:val="1"/>
        </w:numPr>
        <w:spacing w:after="0" w:line="360" w:lineRule="auto"/>
        <w:ind w:left="0" w:firstLine="0"/>
        <w:outlineLvl w:val="1"/>
        <w:rPr>
          <w:rFonts w:asciiTheme="majorBidi" w:hAnsiTheme="majorBidi" w:cstheme="majorBidi"/>
          <w:sz w:val="24"/>
          <w:szCs w:val="24"/>
        </w:rPr>
      </w:pPr>
      <w:r>
        <w:rPr>
          <w:rFonts w:asciiTheme="majorBidi" w:hAnsiTheme="majorBidi" w:cstheme="majorBidi"/>
          <w:sz w:val="24"/>
          <w:szCs w:val="24"/>
        </w:rPr>
        <w:t>Le calcium (</w:t>
      </w:r>
      <w:r w:rsidRPr="000F3877">
        <w:rPr>
          <w:rFonts w:asciiTheme="majorBidi" w:hAnsiTheme="majorBidi" w:cstheme="majorBidi"/>
          <w:sz w:val="24"/>
          <w:szCs w:val="24"/>
        </w:rPr>
        <w:t>Ca++</w:t>
      </w:r>
      <w:r>
        <w:rPr>
          <w:rFonts w:asciiTheme="majorBidi" w:hAnsiTheme="majorBidi" w:cstheme="majorBidi"/>
          <w:sz w:val="24"/>
          <w:szCs w:val="24"/>
        </w:rPr>
        <w:t>)</w:t>
      </w:r>
    </w:p>
    <w:p w:rsidR="00B07680" w:rsidRDefault="00B07680" w:rsidP="00B07680">
      <w:pPr>
        <w:spacing w:before="100" w:beforeAutospacing="1" w:after="30" w:line="360" w:lineRule="auto"/>
        <w:outlineLvl w:val="1"/>
        <w:rPr>
          <w:rFonts w:asciiTheme="majorBidi" w:hAnsiTheme="majorBidi" w:cstheme="majorBidi"/>
          <w:b/>
          <w:bCs/>
          <w:sz w:val="24"/>
          <w:szCs w:val="24"/>
        </w:rPr>
      </w:pPr>
    </w:p>
    <w:p w:rsidR="00B07680" w:rsidRDefault="00B07680" w:rsidP="00B07680">
      <w:pPr>
        <w:spacing w:before="100" w:beforeAutospacing="1" w:after="30" w:line="360" w:lineRule="auto"/>
        <w:outlineLvl w:val="1"/>
        <w:rPr>
          <w:rFonts w:asciiTheme="majorBidi" w:hAnsiTheme="majorBidi" w:cstheme="majorBidi"/>
          <w:b/>
          <w:bCs/>
          <w:sz w:val="24"/>
          <w:szCs w:val="24"/>
        </w:rPr>
      </w:pPr>
    </w:p>
    <w:p w:rsidR="00B07680" w:rsidRDefault="00B07680" w:rsidP="00B07680">
      <w:pPr>
        <w:spacing w:before="100" w:beforeAutospacing="1" w:after="30" w:line="360" w:lineRule="auto"/>
        <w:outlineLvl w:val="1"/>
        <w:rPr>
          <w:rFonts w:asciiTheme="majorBidi" w:hAnsiTheme="majorBidi" w:cstheme="majorBidi"/>
          <w:b/>
          <w:bCs/>
          <w:sz w:val="24"/>
          <w:szCs w:val="24"/>
        </w:rPr>
      </w:pPr>
    </w:p>
    <w:p w:rsidR="00B07680" w:rsidRPr="000F3877" w:rsidRDefault="00B07680" w:rsidP="00B07680">
      <w:pPr>
        <w:spacing w:before="100" w:beforeAutospacing="1" w:after="30" w:line="360" w:lineRule="auto"/>
        <w:outlineLvl w:val="1"/>
        <w:rPr>
          <w:rFonts w:asciiTheme="majorBidi" w:hAnsiTheme="majorBidi" w:cstheme="majorBidi"/>
          <w:b/>
          <w:bCs/>
          <w:sz w:val="24"/>
          <w:szCs w:val="24"/>
        </w:rPr>
      </w:pPr>
      <w:r w:rsidRPr="000F3877">
        <w:rPr>
          <w:rFonts w:asciiTheme="majorBidi" w:hAnsiTheme="majorBidi" w:cstheme="majorBidi"/>
          <w:b/>
          <w:bCs/>
          <w:sz w:val="24"/>
          <w:szCs w:val="24"/>
        </w:rPr>
        <w:t xml:space="preserve">IV-3-1 :AMP cyclique </w:t>
      </w:r>
    </w:p>
    <w:p w:rsidR="00B07680" w:rsidRPr="000F3877" w:rsidRDefault="00B07680" w:rsidP="00B07680">
      <w:pPr>
        <w:spacing w:before="100" w:beforeAutospacing="1" w:after="30" w:line="360" w:lineRule="auto"/>
        <w:jc w:val="both"/>
        <w:outlineLvl w:val="1"/>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w:t>
      </w:r>
      <w:r w:rsidRPr="000F3877">
        <w:rPr>
          <w:rFonts w:asciiTheme="majorBidi" w:eastAsia="Times New Roman" w:hAnsiTheme="majorBidi" w:cstheme="majorBidi"/>
          <w:sz w:val="24"/>
          <w:szCs w:val="24"/>
          <w:bdr w:val="none" w:sz="0" w:space="0" w:color="auto" w:frame="1"/>
        </w:rPr>
        <w:t>AMP cyclique</w:t>
      </w:r>
      <w:r w:rsidRPr="000F3877">
        <w:rPr>
          <w:rFonts w:asciiTheme="majorBidi" w:eastAsia="Times New Roman" w:hAnsiTheme="majorBidi" w:cstheme="majorBidi"/>
          <w:sz w:val="24"/>
          <w:szCs w:val="24"/>
        </w:rPr>
        <w:t xml:space="preserve"> est le produit de l’adénylate cyclase qui hydrolyse l’ATP en formant une liaison ester interne entre le phosphate du Carbone n°5’, et la fonction alcool secondaire du Carbone n°3’.</w:t>
      </w:r>
    </w:p>
    <w:p w:rsidR="00B07680" w:rsidRPr="000F3877" w:rsidRDefault="00B07680" w:rsidP="00B07680">
      <w:pPr>
        <w:spacing w:before="100" w:beforeAutospacing="1" w:after="30" w:line="360" w:lineRule="auto"/>
        <w:jc w:val="both"/>
        <w:outlineLvl w:val="1"/>
        <w:rPr>
          <w:rFonts w:asciiTheme="majorBidi" w:hAnsiTheme="majorBidi" w:cstheme="majorBidi"/>
          <w:b/>
          <w:bCs/>
          <w:sz w:val="24"/>
          <w:szCs w:val="24"/>
        </w:rPr>
      </w:pPr>
      <w:r w:rsidRPr="000F3877">
        <w:rPr>
          <w:rFonts w:asciiTheme="majorBidi" w:hAnsiTheme="majorBidi" w:cstheme="majorBidi"/>
          <w:sz w:val="24"/>
          <w:szCs w:val="24"/>
        </w:rPr>
        <w:t>La voie de signalisation de l’AMPc est le système le mieux connu et qui est très utilisé par un nombre considérable de médiateurs (hormones, neuromédiateurs…). La concentration d’AMPc dans la cellule dépende d’une part de sa synthèse et d’autre part de sa dégradation</w:t>
      </w:r>
      <w:r>
        <w:rPr>
          <w:rFonts w:asciiTheme="majorBidi" w:hAnsiTheme="majorBidi" w:cstheme="majorBidi"/>
          <w:sz w:val="24"/>
          <w:szCs w:val="24"/>
        </w:rPr>
        <w:t>.</w:t>
      </w:r>
    </w:p>
    <w:p w:rsidR="00B07680" w:rsidRPr="00A0244D" w:rsidRDefault="00B07680" w:rsidP="00B07680">
      <w:pPr>
        <w:spacing w:before="100" w:after="30" w:line="360" w:lineRule="auto"/>
        <w:jc w:val="both"/>
        <w:rPr>
          <w:rFonts w:asciiTheme="majorBidi" w:eastAsia="Times New Roman" w:hAnsiTheme="majorBidi" w:cstheme="majorBidi"/>
          <w:sz w:val="24"/>
          <w:szCs w:val="24"/>
        </w:rPr>
      </w:pPr>
      <w:r w:rsidRPr="00A0244D">
        <w:rPr>
          <w:rFonts w:asciiTheme="majorBidi" w:eastAsia="Times New Roman" w:hAnsiTheme="majorBidi" w:cstheme="majorBidi"/>
          <w:sz w:val="24"/>
          <w:szCs w:val="24"/>
        </w:rPr>
        <w:t>L’AMP  se lie avec la sous-unité régulatrice des protéine-kinases A, libère les sous-unités catalytiques. Ces sous-unités catalysent la phosphorylation des enzymes de plusieurs voies métaboliques : glycolyse, lipolyse, glycogénolyse</w:t>
      </w:r>
      <w:r>
        <w:rPr>
          <w:rFonts w:asciiTheme="majorBidi" w:eastAsia="Times New Roman" w:hAnsiTheme="majorBidi" w:cstheme="majorBidi"/>
          <w:sz w:val="24"/>
          <w:szCs w:val="24"/>
        </w:rPr>
        <w:t xml:space="preserve"> (</w:t>
      </w:r>
      <w:r w:rsidRPr="00A0244D">
        <w:rPr>
          <w:rFonts w:asciiTheme="majorBidi" w:eastAsia="Times New Roman" w:hAnsiTheme="majorBidi" w:cstheme="majorBidi"/>
          <w:sz w:val="24"/>
          <w:szCs w:val="24"/>
        </w:rPr>
        <w:t>Figure</w:t>
      </w:r>
      <w:r>
        <w:rPr>
          <w:rFonts w:asciiTheme="majorBidi" w:eastAsia="Times New Roman" w:hAnsiTheme="majorBidi" w:cstheme="majorBidi"/>
          <w:sz w:val="24"/>
          <w:szCs w:val="24"/>
        </w:rPr>
        <w:t xml:space="preserve"> 27).</w:t>
      </w:r>
    </w:p>
    <w:p w:rsidR="00B07680" w:rsidRPr="000F3877" w:rsidRDefault="00B07680" w:rsidP="00B07680">
      <w:pPr>
        <w:spacing w:before="100" w:beforeAutospacing="1" w:after="0" w:afterAutospacing="1" w:line="360" w:lineRule="auto"/>
        <w:rPr>
          <w:rFonts w:asciiTheme="majorBidi" w:eastAsia="Times New Roman" w:hAnsiTheme="majorBidi" w:cstheme="majorBidi"/>
          <w:sz w:val="24"/>
          <w:szCs w:val="24"/>
        </w:rPr>
      </w:pPr>
    </w:p>
    <w:p w:rsidR="00B07680" w:rsidRPr="000F3877" w:rsidRDefault="00B07680" w:rsidP="00B07680">
      <w:pPr>
        <w:spacing w:before="100" w:beforeAutospacing="1" w:after="0" w:afterAutospacing="1" w:line="360" w:lineRule="auto"/>
        <w:rPr>
          <w:rFonts w:asciiTheme="majorBidi" w:eastAsia="Times New Roman" w:hAnsiTheme="majorBidi" w:cstheme="majorBidi"/>
          <w:sz w:val="24"/>
          <w:szCs w:val="24"/>
        </w:rPr>
      </w:pPr>
    </w:p>
    <w:p w:rsidR="00B07680" w:rsidRPr="000F3877" w:rsidRDefault="00B07680" w:rsidP="00B07680">
      <w:pPr>
        <w:spacing w:before="100" w:beforeAutospacing="1" w:after="0" w:afterAutospacing="1" w:line="360" w:lineRule="auto"/>
        <w:rPr>
          <w:rFonts w:asciiTheme="majorBidi" w:eastAsia="Times New Roman" w:hAnsiTheme="majorBidi" w:cstheme="majorBidi"/>
          <w:sz w:val="24"/>
          <w:szCs w:val="24"/>
        </w:rPr>
      </w:pPr>
    </w:p>
    <w:p w:rsidR="00B07680" w:rsidRPr="000F3877" w:rsidRDefault="00B07680" w:rsidP="00B07680">
      <w:pPr>
        <w:spacing w:before="100" w:beforeAutospacing="1" w:after="0" w:afterAutospacing="1" w:line="360" w:lineRule="auto"/>
        <w:rPr>
          <w:rFonts w:asciiTheme="majorBidi" w:eastAsia="Times New Roman" w:hAnsiTheme="majorBidi" w:cstheme="majorBidi"/>
          <w:sz w:val="24"/>
          <w:szCs w:val="24"/>
        </w:rPr>
      </w:pPr>
    </w:p>
    <w:p w:rsidR="00B07680" w:rsidRPr="000F3877" w:rsidRDefault="00B07680" w:rsidP="00B07680">
      <w:pPr>
        <w:spacing w:before="100" w:beforeAutospacing="1" w:after="0" w:afterAutospacing="1" w:line="360" w:lineRule="auto"/>
        <w:rPr>
          <w:rFonts w:asciiTheme="majorBidi" w:eastAsia="Times New Roman" w:hAnsiTheme="majorBidi" w:cstheme="majorBidi"/>
          <w:sz w:val="24"/>
          <w:szCs w:val="24"/>
        </w:rPr>
      </w:pPr>
    </w:p>
    <w:p w:rsidR="00B07680" w:rsidRPr="000F3877" w:rsidRDefault="00B07680" w:rsidP="00B07680">
      <w:pPr>
        <w:pStyle w:val="NormalWeb"/>
        <w:rPr>
          <w:rFonts w:asciiTheme="majorBidi" w:hAnsiTheme="majorBidi" w:cstheme="majorBidi"/>
        </w:rPr>
      </w:pPr>
    </w:p>
    <w:p w:rsidR="00B07680" w:rsidRPr="000F3877" w:rsidRDefault="00B07680" w:rsidP="00B07680">
      <w:pPr>
        <w:spacing w:before="100" w:beforeAutospacing="1" w:after="0" w:afterAutospacing="1" w:line="360" w:lineRule="auto"/>
        <w:jc w:val="center"/>
        <w:rPr>
          <w:rFonts w:asciiTheme="majorBidi" w:eastAsia="Times New Roman" w:hAnsiTheme="majorBidi" w:cstheme="majorBidi"/>
          <w:sz w:val="24"/>
          <w:szCs w:val="24"/>
        </w:rPr>
      </w:pPr>
      <w:r w:rsidRPr="000F3877">
        <w:rPr>
          <w:rFonts w:asciiTheme="majorBidi" w:eastAsia="Times New Roman" w:hAnsiTheme="majorBidi" w:cstheme="majorBidi"/>
          <w:noProof/>
          <w:sz w:val="24"/>
          <w:szCs w:val="24"/>
        </w:rPr>
        <w:lastRenderedPageBreak/>
        <w:drawing>
          <wp:inline distT="0" distB="0" distL="0" distR="0" wp14:anchorId="6D65080B" wp14:editId="57F288F4">
            <wp:extent cx="3960000" cy="3600000"/>
            <wp:effectExtent l="19050" t="19050" r="21590" b="19685"/>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0" cy="3600000"/>
                    </a:xfrm>
                    <a:prstGeom prst="rect">
                      <a:avLst/>
                    </a:prstGeom>
                    <a:noFill/>
                    <a:ln>
                      <a:solidFill>
                        <a:sysClr val="windowText" lastClr="000000"/>
                      </a:solidFill>
                    </a:ln>
                  </pic:spPr>
                </pic:pic>
              </a:graphicData>
            </a:graphic>
          </wp:inline>
        </w:drawing>
      </w:r>
    </w:p>
    <w:p w:rsidR="00B07680" w:rsidRPr="00ED2FBE" w:rsidRDefault="00B07680" w:rsidP="00B07680">
      <w:pPr>
        <w:spacing w:before="100" w:beforeAutospacing="1" w:after="0" w:afterAutospacing="1" w:line="360" w:lineRule="auto"/>
        <w:jc w:val="center"/>
        <w:rPr>
          <w:rFonts w:asciiTheme="majorBidi" w:eastAsia="Times New Roman" w:hAnsiTheme="majorBidi" w:cstheme="majorBidi"/>
          <w:b/>
          <w:bCs/>
          <w:sz w:val="24"/>
          <w:szCs w:val="24"/>
        </w:rPr>
      </w:pPr>
      <w:r w:rsidRPr="00ED2FBE">
        <w:rPr>
          <w:rFonts w:asciiTheme="majorBidi" w:eastAsia="Times New Roman" w:hAnsiTheme="majorBidi" w:cstheme="majorBidi"/>
          <w:b/>
          <w:bCs/>
          <w:sz w:val="24"/>
          <w:szCs w:val="24"/>
        </w:rPr>
        <w:t>Figure 27 : Activation de l’AMPc par l’adénylate cyclase</w:t>
      </w:r>
    </w:p>
    <w:p w:rsidR="00B07680" w:rsidRPr="000F3877" w:rsidRDefault="00B07680" w:rsidP="00B07680">
      <w:pPr>
        <w:spacing w:after="0" w:line="240" w:lineRule="auto"/>
        <w:rPr>
          <w:rFonts w:asciiTheme="majorBidi" w:hAnsiTheme="majorBidi" w:cstheme="majorBidi"/>
          <w:b/>
          <w:bCs/>
          <w:sz w:val="24"/>
          <w:szCs w:val="24"/>
        </w:rPr>
      </w:pPr>
      <w:r w:rsidRPr="000F3877">
        <w:rPr>
          <w:rFonts w:asciiTheme="majorBidi" w:hAnsiTheme="majorBidi" w:cstheme="majorBidi"/>
          <w:b/>
          <w:bCs/>
          <w:sz w:val="24"/>
          <w:szCs w:val="24"/>
        </w:rPr>
        <w:t xml:space="preserve">IV-3-2  GMP cyclique </w:t>
      </w:r>
    </w:p>
    <w:p w:rsidR="00B07680" w:rsidRPr="000F3877" w:rsidRDefault="00B07680" w:rsidP="00B07680">
      <w:pPr>
        <w:spacing w:after="0" w:line="240" w:lineRule="auto"/>
        <w:rPr>
          <w:rFonts w:asciiTheme="majorBidi" w:eastAsia="Times New Roman" w:hAnsiTheme="majorBidi" w:cstheme="majorBidi"/>
          <w:sz w:val="24"/>
          <w:szCs w:val="24"/>
        </w:rPr>
      </w:pPr>
    </w:p>
    <w:p w:rsidR="00B07680" w:rsidRPr="000F3877" w:rsidRDefault="00B07680" w:rsidP="00B07680">
      <w:pPr>
        <w:spacing w:before="100" w:after="30" w:line="360" w:lineRule="auto"/>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 xml:space="preserve">Le </w:t>
      </w:r>
      <w:r w:rsidRPr="000F3877">
        <w:rPr>
          <w:rFonts w:asciiTheme="majorBidi" w:eastAsia="Times New Roman" w:hAnsiTheme="majorBidi" w:cstheme="majorBidi"/>
          <w:sz w:val="24"/>
          <w:szCs w:val="24"/>
          <w:bdr w:val="none" w:sz="0" w:space="0" w:color="auto" w:frame="1"/>
        </w:rPr>
        <w:t>GMP cyclique</w:t>
      </w:r>
      <w:r w:rsidRPr="000F3877">
        <w:rPr>
          <w:rFonts w:asciiTheme="majorBidi" w:eastAsia="Times New Roman" w:hAnsiTheme="majorBidi" w:cstheme="majorBidi"/>
          <w:sz w:val="24"/>
          <w:szCs w:val="24"/>
        </w:rPr>
        <w:t xml:space="preserve"> est le produit de la guanylate cyclase qui hydrolyse le GTP en formant une liaison ester interne entre le phosphate lié au Carbone n°5’, et la fonction alcool secondaire du Carbone n°3, il est</w:t>
      </w:r>
      <w:r w:rsidRPr="000F3877">
        <w:rPr>
          <w:rFonts w:asciiTheme="majorBidi" w:hAnsiTheme="majorBidi" w:cstheme="majorBidi"/>
          <w:sz w:val="24"/>
          <w:szCs w:val="24"/>
        </w:rPr>
        <w:t xml:space="preserve"> est dégradé par certaines </w:t>
      </w:r>
      <w:hyperlink r:id="rId15" w:tooltip="Phosphodiestérase" w:history="1">
        <w:r w:rsidRPr="000F3877">
          <w:rPr>
            <w:rFonts w:asciiTheme="majorBidi" w:hAnsiTheme="majorBidi" w:cstheme="majorBidi"/>
            <w:sz w:val="24"/>
            <w:szCs w:val="24"/>
          </w:rPr>
          <w:t>phosphodiestérases</w:t>
        </w:r>
      </w:hyperlink>
      <w:r>
        <w:rPr>
          <w:rFonts w:asciiTheme="majorBidi" w:hAnsiTheme="majorBidi" w:cstheme="majorBidi"/>
          <w:sz w:val="24"/>
          <w:szCs w:val="24"/>
        </w:rPr>
        <w:t>.</w:t>
      </w:r>
    </w:p>
    <w:p w:rsidR="00B07680" w:rsidRDefault="00B07680" w:rsidP="00B07680">
      <w:pPr>
        <w:spacing w:before="100" w:after="30" w:line="360" w:lineRule="auto"/>
        <w:jc w:val="both"/>
        <w:rPr>
          <w:rFonts w:asciiTheme="majorBidi" w:hAnsiTheme="majorBidi" w:cstheme="majorBidi"/>
          <w:sz w:val="24"/>
          <w:szCs w:val="24"/>
        </w:rPr>
      </w:pPr>
      <w:r w:rsidRPr="000F3877">
        <w:rPr>
          <w:rFonts w:asciiTheme="majorBidi" w:eastAsia="Times New Roman" w:hAnsiTheme="majorBidi" w:cstheme="majorBidi"/>
          <w:sz w:val="24"/>
          <w:szCs w:val="24"/>
        </w:rPr>
        <w:t xml:space="preserve">Le GMP </w:t>
      </w:r>
      <w:r w:rsidRPr="000F3877">
        <w:rPr>
          <w:rFonts w:asciiTheme="majorBidi" w:eastAsia="Times New Roman" w:hAnsiTheme="majorBidi" w:cstheme="majorBidi"/>
          <w:sz w:val="24"/>
          <w:szCs w:val="24"/>
          <w:bdr w:val="none" w:sz="0" w:space="0" w:color="auto" w:frame="1"/>
        </w:rPr>
        <w:t>cyclique</w:t>
      </w:r>
      <w:r w:rsidRPr="000F3877">
        <w:rPr>
          <w:rFonts w:asciiTheme="majorBidi" w:eastAsia="Times New Roman" w:hAnsiTheme="majorBidi" w:cstheme="majorBidi"/>
          <w:sz w:val="24"/>
          <w:szCs w:val="24"/>
        </w:rPr>
        <w:t xml:space="preserve"> agit en antagoniste de l’AMP cyclique sur l’activité des protéines. Il </w:t>
      </w:r>
      <w:r w:rsidRPr="000F3877">
        <w:rPr>
          <w:rFonts w:asciiTheme="majorBidi" w:hAnsiTheme="majorBidi" w:cstheme="majorBidi"/>
          <w:sz w:val="24"/>
          <w:szCs w:val="24"/>
        </w:rPr>
        <w:t xml:space="preserve">agit sur trois types de </w:t>
      </w:r>
      <w:r w:rsidRPr="000F3877">
        <w:rPr>
          <w:rFonts w:asciiTheme="majorBidi" w:hAnsiTheme="majorBidi" w:cstheme="majorBidi"/>
          <w:sz w:val="24"/>
          <w:szCs w:val="24"/>
          <w:bdr w:val="none" w:sz="0" w:space="0" w:color="auto" w:frame="1"/>
        </w:rPr>
        <w:t>protéines</w:t>
      </w:r>
      <w:r w:rsidRPr="000F3877">
        <w:rPr>
          <w:rFonts w:asciiTheme="majorBidi" w:hAnsiTheme="majorBidi" w:cstheme="majorBidi"/>
          <w:sz w:val="24"/>
          <w:szCs w:val="24"/>
        </w:rPr>
        <w:t xml:space="preserve"> : la </w:t>
      </w:r>
      <w:hyperlink r:id="rId16" w:tooltip="Protéine kinase G" w:history="1">
        <w:r w:rsidRPr="000F3877">
          <w:rPr>
            <w:rFonts w:asciiTheme="majorBidi" w:hAnsiTheme="majorBidi" w:cstheme="majorBidi"/>
            <w:sz w:val="24"/>
            <w:szCs w:val="24"/>
          </w:rPr>
          <w:t>protéine kinase G</w:t>
        </w:r>
      </w:hyperlink>
      <w:r w:rsidRPr="000F3877">
        <w:rPr>
          <w:rFonts w:asciiTheme="majorBidi" w:hAnsiTheme="majorBidi" w:cstheme="majorBidi"/>
          <w:sz w:val="24"/>
          <w:szCs w:val="24"/>
        </w:rPr>
        <w:t xml:space="preserve">, certaines </w:t>
      </w:r>
      <w:hyperlink r:id="rId17" w:tooltip="Phosphodiestérase" w:history="1">
        <w:r w:rsidRPr="000F3877">
          <w:rPr>
            <w:rFonts w:asciiTheme="majorBidi" w:hAnsiTheme="majorBidi" w:cstheme="majorBidi"/>
            <w:sz w:val="24"/>
            <w:szCs w:val="24"/>
          </w:rPr>
          <w:t>phosphodiestérases</w:t>
        </w:r>
      </w:hyperlink>
      <w:r w:rsidRPr="000F3877">
        <w:rPr>
          <w:rFonts w:asciiTheme="majorBidi" w:hAnsiTheme="majorBidi" w:cstheme="majorBidi"/>
          <w:sz w:val="24"/>
          <w:szCs w:val="24"/>
        </w:rPr>
        <w:t xml:space="preserve"> et certains </w:t>
      </w:r>
      <w:hyperlink r:id="rId18" w:tooltip="Canal ionique" w:history="1">
        <w:r w:rsidRPr="000F3877">
          <w:rPr>
            <w:rFonts w:asciiTheme="majorBidi" w:hAnsiTheme="majorBidi" w:cstheme="majorBidi"/>
            <w:sz w:val="24"/>
            <w:szCs w:val="24"/>
          </w:rPr>
          <w:t>canaux ioniques</w:t>
        </w:r>
      </w:hyperlink>
      <w:r w:rsidRPr="000F3877">
        <w:rPr>
          <w:rFonts w:asciiTheme="majorBidi" w:hAnsiTheme="majorBidi" w:cstheme="majorBidi"/>
          <w:sz w:val="24"/>
          <w:szCs w:val="24"/>
        </w:rPr>
        <w:t xml:space="preserve"> dits GMPc-dépendants</w:t>
      </w:r>
      <w:r>
        <w:rPr>
          <w:rFonts w:asciiTheme="majorBidi" w:hAnsiTheme="majorBidi" w:cstheme="majorBidi"/>
          <w:sz w:val="24"/>
          <w:szCs w:val="24"/>
        </w:rPr>
        <w:t>.</w:t>
      </w:r>
    </w:p>
    <w:p w:rsidR="00B07680" w:rsidRPr="000F3877" w:rsidRDefault="00B07680" w:rsidP="00B07680">
      <w:pPr>
        <w:spacing w:before="100" w:after="30" w:line="360" w:lineRule="auto"/>
        <w:jc w:val="both"/>
        <w:rPr>
          <w:rFonts w:asciiTheme="majorBidi" w:hAnsiTheme="majorBidi" w:cstheme="majorBidi"/>
          <w:sz w:val="24"/>
          <w:szCs w:val="24"/>
        </w:rPr>
      </w:pPr>
      <w:r w:rsidRPr="000F3877">
        <w:rPr>
          <w:rFonts w:asciiTheme="majorBidi" w:hAnsiTheme="majorBidi" w:cstheme="majorBidi"/>
          <w:color w:val="000000"/>
          <w:sz w:val="24"/>
          <w:szCs w:val="24"/>
        </w:rPr>
        <w:t xml:space="preserve">Dans les </w:t>
      </w:r>
      <w:hyperlink r:id="rId19" w:tooltip="photorécepteur" w:history="1">
        <w:r w:rsidRPr="000F3877">
          <w:rPr>
            <w:rFonts w:asciiTheme="majorBidi" w:hAnsiTheme="majorBidi" w:cstheme="majorBidi"/>
            <w:color w:val="444444"/>
            <w:sz w:val="24"/>
            <w:szCs w:val="24"/>
          </w:rPr>
          <w:t>photorécepteurs</w:t>
        </w:r>
      </w:hyperlink>
      <w:r w:rsidRPr="000F3877">
        <w:rPr>
          <w:rFonts w:asciiTheme="majorBidi" w:hAnsiTheme="majorBidi" w:cstheme="majorBidi"/>
          <w:sz w:val="24"/>
          <w:szCs w:val="24"/>
        </w:rPr>
        <w:t>, le GMPc est lié aux canaux à Na</w:t>
      </w:r>
      <w:r w:rsidRPr="000F3877">
        <w:rPr>
          <w:rFonts w:asciiTheme="majorBidi" w:hAnsiTheme="majorBidi" w:cstheme="majorBidi"/>
          <w:color w:val="000000"/>
          <w:sz w:val="24"/>
          <w:szCs w:val="24"/>
          <w:vertAlign w:val="superscript"/>
        </w:rPr>
        <w:t>+</w:t>
      </w:r>
      <w:r w:rsidRPr="000F3877">
        <w:rPr>
          <w:rFonts w:asciiTheme="majorBidi" w:hAnsiTheme="majorBidi" w:cstheme="majorBidi"/>
          <w:sz w:val="24"/>
          <w:szCs w:val="24"/>
        </w:rPr>
        <w:t xml:space="preserve"> transmembranaires et les empêchent de se fermer à l'obscurité. Sa synthèse est déclenchée par l'</w:t>
      </w:r>
      <w:hyperlink r:id="rId20" w:tooltip="activation" w:history="1">
        <w:r w:rsidRPr="000F3877">
          <w:rPr>
            <w:rFonts w:asciiTheme="majorBidi" w:hAnsiTheme="majorBidi" w:cstheme="majorBidi"/>
            <w:color w:val="444444"/>
            <w:sz w:val="24"/>
            <w:szCs w:val="24"/>
          </w:rPr>
          <w:t>activation</w:t>
        </w:r>
      </w:hyperlink>
      <w:r w:rsidRPr="000F3877">
        <w:rPr>
          <w:rFonts w:asciiTheme="majorBidi" w:hAnsiTheme="majorBidi" w:cstheme="majorBidi"/>
          <w:color w:val="000000"/>
          <w:sz w:val="24"/>
          <w:szCs w:val="24"/>
        </w:rPr>
        <w:t xml:space="preserve"> des </w:t>
      </w:r>
      <w:hyperlink r:id="rId21" w:tooltip="récepteur" w:history="1">
        <w:r w:rsidRPr="000F3877">
          <w:rPr>
            <w:rFonts w:asciiTheme="majorBidi" w:hAnsiTheme="majorBidi" w:cstheme="majorBidi"/>
            <w:color w:val="444444"/>
            <w:sz w:val="24"/>
            <w:szCs w:val="24"/>
          </w:rPr>
          <w:t>récepteurs</w:t>
        </w:r>
      </w:hyperlink>
      <w:r w:rsidRPr="00ED2FBE">
        <w:rPr>
          <w:rFonts w:asciiTheme="majorBidi" w:hAnsiTheme="majorBidi" w:cstheme="majorBidi"/>
          <w:sz w:val="24"/>
          <w:szCs w:val="24"/>
        </w:rPr>
        <w:t xml:space="preserve"> à activité guanylate cyclase; il devient un </w:t>
      </w:r>
      <w:hyperlink r:id="rId22" w:tooltip="second messager" w:history="1">
        <w:r w:rsidRPr="000F3877">
          <w:rPr>
            <w:rFonts w:asciiTheme="majorBidi" w:hAnsiTheme="majorBidi" w:cstheme="majorBidi"/>
            <w:color w:val="444444"/>
            <w:sz w:val="24"/>
            <w:szCs w:val="24"/>
          </w:rPr>
          <w:t>second messager</w:t>
        </w:r>
      </w:hyperlink>
      <w:r w:rsidRPr="000F3877">
        <w:rPr>
          <w:rFonts w:asciiTheme="majorBidi" w:hAnsiTheme="majorBidi" w:cstheme="majorBidi"/>
          <w:sz w:val="24"/>
          <w:szCs w:val="24"/>
        </w:rPr>
        <w:t xml:space="preserve"> et se lie alors à une </w:t>
      </w:r>
      <w:hyperlink r:id="rId23" w:tooltip="protéine" w:history="1">
        <w:r w:rsidRPr="000F3877">
          <w:rPr>
            <w:rFonts w:asciiTheme="majorBidi" w:hAnsiTheme="majorBidi" w:cstheme="majorBidi"/>
            <w:color w:val="444444"/>
            <w:sz w:val="24"/>
            <w:szCs w:val="24"/>
          </w:rPr>
          <w:t>protéine</w:t>
        </w:r>
      </w:hyperlink>
      <w:r w:rsidRPr="000F3877">
        <w:rPr>
          <w:rFonts w:asciiTheme="majorBidi" w:hAnsiTheme="majorBidi" w:cstheme="majorBidi"/>
          <w:color w:val="000000"/>
          <w:sz w:val="24"/>
          <w:szCs w:val="24"/>
        </w:rPr>
        <w:t xml:space="preserve"> </w:t>
      </w:r>
      <w:hyperlink r:id="rId24" w:tooltip="kinase" w:history="1">
        <w:r w:rsidRPr="000F3877">
          <w:rPr>
            <w:rFonts w:asciiTheme="majorBidi" w:hAnsiTheme="majorBidi" w:cstheme="majorBidi"/>
            <w:color w:val="444444"/>
            <w:sz w:val="24"/>
            <w:szCs w:val="24"/>
          </w:rPr>
          <w:t>kinase</w:t>
        </w:r>
      </w:hyperlink>
      <w:r w:rsidRPr="000F3877">
        <w:rPr>
          <w:rFonts w:asciiTheme="majorBidi" w:hAnsiTheme="majorBidi" w:cstheme="majorBidi"/>
          <w:sz w:val="24"/>
          <w:szCs w:val="24"/>
        </w:rPr>
        <w:t xml:space="preserve"> qui phosphorylera des </w:t>
      </w:r>
      <w:hyperlink r:id="rId25" w:tooltip="protéine" w:history="1">
        <w:r w:rsidRPr="000F3877">
          <w:rPr>
            <w:rFonts w:asciiTheme="majorBidi" w:hAnsiTheme="majorBidi" w:cstheme="majorBidi"/>
            <w:color w:val="444444"/>
            <w:sz w:val="24"/>
            <w:szCs w:val="24"/>
          </w:rPr>
          <w:t>protéines</w:t>
        </w:r>
      </w:hyperlink>
      <w:r w:rsidRPr="000F3877">
        <w:rPr>
          <w:rFonts w:asciiTheme="majorBidi" w:hAnsiTheme="majorBidi" w:cstheme="majorBidi"/>
          <w:sz w:val="24"/>
          <w:szCs w:val="24"/>
        </w:rPr>
        <w:t xml:space="preserve"> spécifiques</w:t>
      </w:r>
      <w:r>
        <w:rPr>
          <w:rFonts w:asciiTheme="majorBidi" w:hAnsiTheme="majorBidi" w:cstheme="majorBidi"/>
          <w:sz w:val="24"/>
          <w:szCs w:val="24"/>
        </w:rPr>
        <w:t xml:space="preserve"> (Figure 28).</w:t>
      </w:r>
      <w:r w:rsidRPr="000F3877">
        <w:rPr>
          <w:rFonts w:asciiTheme="majorBidi" w:hAnsiTheme="majorBidi" w:cstheme="majorBidi"/>
          <w:sz w:val="24"/>
          <w:szCs w:val="24"/>
        </w:rPr>
        <w:t>.</w:t>
      </w:r>
    </w:p>
    <w:p w:rsidR="00B07680" w:rsidRPr="000F3877" w:rsidRDefault="00B07680" w:rsidP="00B07680">
      <w:pPr>
        <w:spacing w:before="100" w:after="30" w:line="360" w:lineRule="auto"/>
        <w:jc w:val="both"/>
        <w:rPr>
          <w:rFonts w:asciiTheme="majorBidi" w:hAnsiTheme="majorBidi" w:cstheme="majorBidi"/>
          <w:color w:val="252525"/>
          <w:sz w:val="24"/>
          <w:szCs w:val="24"/>
        </w:rPr>
      </w:pPr>
      <w:r w:rsidRPr="000F3877">
        <w:rPr>
          <w:rFonts w:asciiTheme="majorBidi" w:hAnsiTheme="majorBidi" w:cstheme="majorBidi"/>
          <w:color w:val="252525"/>
          <w:sz w:val="24"/>
          <w:szCs w:val="24"/>
        </w:rPr>
        <w:t>GMP cyclique semble surtout impliqué dans la relaxation des </w:t>
      </w:r>
      <w:hyperlink r:id="rId26" w:history="1">
        <w:r w:rsidRPr="000F3877">
          <w:rPr>
            <w:rFonts w:asciiTheme="majorBidi" w:hAnsiTheme="majorBidi" w:cstheme="majorBidi"/>
            <w:sz w:val="24"/>
            <w:szCs w:val="24"/>
          </w:rPr>
          <w:t>muscles</w:t>
        </w:r>
      </w:hyperlink>
      <w:r w:rsidRPr="000F3877">
        <w:rPr>
          <w:rFonts w:asciiTheme="majorBidi" w:hAnsiTheme="majorBidi" w:cstheme="majorBidi"/>
          <w:sz w:val="24"/>
          <w:szCs w:val="24"/>
        </w:rPr>
        <w:t> </w:t>
      </w:r>
      <w:r w:rsidRPr="000F3877">
        <w:rPr>
          <w:rFonts w:asciiTheme="majorBidi" w:hAnsiTheme="majorBidi" w:cstheme="majorBidi"/>
          <w:color w:val="252525"/>
          <w:sz w:val="24"/>
          <w:szCs w:val="24"/>
        </w:rPr>
        <w:t>lisses. Toute augmentation du GMP cyclique y entraîne, par activation d'une kinase, la phosphorylation de nombreuses protéines. En revanche, la chaîne légère de la myosine est déphosphorylée, d'où la relaxation musculaire.</w:t>
      </w:r>
    </w:p>
    <w:p w:rsidR="00B07680" w:rsidRPr="000F3877" w:rsidRDefault="00B07680" w:rsidP="00B07680">
      <w:pPr>
        <w:spacing w:before="100" w:after="30" w:line="360" w:lineRule="auto"/>
        <w:jc w:val="both"/>
        <w:rPr>
          <w:rFonts w:asciiTheme="majorBidi" w:hAnsiTheme="majorBidi" w:cstheme="majorBidi"/>
          <w:color w:val="252525"/>
          <w:sz w:val="24"/>
          <w:szCs w:val="24"/>
        </w:rPr>
      </w:pPr>
    </w:p>
    <w:p w:rsidR="00B07680" w:rsidRPr="000F3877" w:rsidRDefault="00B07680" w:rsidP="00B07680">
      <w:pPr>
        <w:spacing w:before="100" w:after="30" w:line="360" w:lineRule="auto"/>
        <w:jc w:val="both"/>
        <w:rPr>
          <w:rFonts w:asciiTheme="majorBidi" w:hAnsiTheme="majorBidi" w:cstheme="majorBidi"/>
          <w:color w:val="252525"/>
          <w:sz w:val="24"/>
          <w:szCs w:val="24"/>
        </w:rPr>
      </w:pPr>
    </w:p>
    <w:p w:rsidR="00B07680" w:rsidRPr="000F3877" w:rsidRDefault="00B07680" w:rsidP="00B07680">
      <w:pPr>
        <w:spacing w:before="100" w:after="30" w:line="360" w:lineRule="auto"/>
        <w:jc w:val="center"/>
        <w:rPr>
          <w:rFonts w:asciiTheme="majorBidi" w:hAnsiTheme="majorBidi" w:cstheme="majorBidi"/>
          <w:color w:val="252525"/>
          <w:sz w:val="24"/>
          <w:szCs w:val="24"/>
        </w:rPr>
      </w:pPr>
      <w:r>
        <w:rPr>
          <w:rFonts w:asciiTheme="majorBidi" w:hAnsiTheme="majorBidi" w:cstheme="majorBidi"/>
          <w:noProof/>
          <w:color w:val="252525"/>
          <w:sz w:val="24"/>
          <w:szCs w:val="24"/>
        </w:rPr>
        <w:drawing>
          <wp:inline distT="0" distB="0" distL="0" distR="0" wp14:anchorId="0E7CD555" wp14:editId="6610C570">
            <wp:extent cx="3960000" cy="3078000"/>
            <wp:effectExtent l="0" t="0" r="2540" b="825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0000" cy="3078000"/>
                    </a:xfrm>
                    <a:prstGeom prst="rect">
                      <a:avLst/>
                    </a:prstGeom>
                    <a:ln>
                      <a:noFill/>
                    </a:ln>
                    <a:effectLst>
                      <a:softEdge rad="112500"/>
                    </a:effectLst>
                  </pic:spPr>
                </pic:pic>
              </a:graphicData>
            </a:graphic>
          </wp:inline>
        </w:drawing>
      </w:r>
    </w:p>
    <w:p w:rsidR="00B07680" w:rsidRPr="000F3877" w:rsidRDefault="00B07680" w:rsidP="00B07680">
      <w:pPr>
        <w:spacing w:after="0" w:line="240" w:lineRule="auto"/>
        <w:rPr>
          <w:rFonts w:asciiTheme="majorBidi" w:eastAsia="Times New Roman" w:hAnsiTheme="majorBidi" w:cstheme="majorBidi"/>
          <w:vanish/>
          <w:color w:val="222222"/>
          <w:sz w:val="24"/>
          <w:szCs w:val="24"/>
        </w:rPr>
      </w:pPr>
    </w:p>
    <w:p w:rsidR="00B07680" w:rsidRPr="000F66AB" w:rsidRDefault="00B07680" w:rsidP="00B07680">
      <w:pPr>
        <w:spacing w:before="100" w:after="30" w:line="360" w:lineRule="auto"/>
        <w:jc w:val="center"/>
        <w:rPr>
          <w:rFonts w:asciiTheme="majorBidi" w:hAnsiTheme="majorBidi" w:cstheme="majorBidi"/>
          <w:b/>
          <w:bCs/>
          <w:color w:val="252525"/>
          <w:sz w:val="24"/>
          <w:szCs w:val="24"/>
        </w:rPr>
      </w:pPr>
      <w:r w:rsidRPr="000F66AB">
        <w:rPr>
          <w:rFonts w:asciiTheme="majorBidi" w:hAnsiTheme="majorBidi" w:cstheme="majorBidi"/>
          <w:b/>
          <w:bCs/>
          <w:color w:val="252525"/>
          <w:sz w:val="24"/>
          <w:szCs w:val="24"/>
        </w:rPr>
        <w:t xml:space="preserve">Figure 28 :  </w:t>
      </w:r>
      <w:r w:rsidRPr="000F66AB">
        <w:rPr>
          <w:rFonts w:asciiTheme="majorBidi" w:hAnsiTheme="majorBidi" w:cstheme="majorBidi"/>
          <w:b/>
          <w:bCs/>
          <w:sz w:val="24"/>
          <w:szCs w:val="24"/>
        </w:rPr>
        <w:t>GMP cyclique activée par les photorécepteurs</w:t>
      </w:r>
    </w:p>
    <w:p w:rsidR="00B07680" w:rsidRPr="000F3877" w:rsidRDefault="00B07680" w:rsidP="00B07680">
      <w:pPr>
        <w:spacing w:before="100" w:after="30" w:line="360" w:lineRule="auto"/>
        <w:rPr>
          <w:rFonts w:asciiTheme="majorBidi" w:hAnsiTheme="majorBidi" w:cstheme="majorBidi"/>
          <w:color w:val="252525"/>
          <w:sz w:val="24"/>
          <w:szCs w:val="24"/>
        </w:rPr>
      </w:pPr>
    </w:p>
    <w:p w:rsidR="00B07680" w:rsidRPr="00D460E1" w:rsidRDefault="00B07680" w:rsidP="00B07680">
      <w:pPr>
        <w:spacing w:before="100" w:beforeAutospacing="1" w:after="30" w:line="360" w:lineRule="auto"/>
        <w:outlineLvl w:val="1"/>
        <w:rPr>
          <w:rFonts w:asciiTheme="majorBidi" w:hAnsiTheme="majorBidi" w:cstheme="majorBidi"/>
          <w:b/>
          <w:bCs/>
          <w:sz w:val="24"/>
          <w:szCs w:val="24"/>
        </w:rPr>
      </w:pPr>
      <w:r w:rsidRPr="00D460E1">
        <w:rPr>
          <w:rFonts w:asciiTheme="majorBidi" w:hAnsiTheme="majorBidi" w:cstheme="majorBidi"/>
          <w:b/>
          <w:bCs/>
          <w:sz w:val="24"/>
          <w:szCs w:val="24"/>
        </w:rPr>
        <w:t xml:space="preserve">IV-3-3 Diacylglycérol (DAG) </w:t>
      </w:r>
    </w:p>
    <w:p w:rsidR="00B07680" w:rsidRPr="000F3877" w:rsidRDefault="00B07680" w:rsidP="00B07680">
      <w:pPr>
        <w:spacing w:after="0" w:line="360" w:lineRule="auto"/>
        <w:jc w:val="both"/>
        <w:outlineLvl w:val="1"/>
        <w:rPr>
          <w:rFonts w:asciiTheme="majorBidi" w:hAnsiTheme="majorBidi" w:cstheme="majorBidi"/>
          <w:noProof/>
          <w:sz w:val="24"/>
          <w:szCs w:val="24"/>
        </w:rPr>
      </w:pPr>
      <w:r w:rsidRPr="000F3877">
        <w:rPr>
          <w:rFonts w:asciiTheme="majorBidi" w:hAnsiTheme="majorBidi" w:cstheme="majorBidi"/>
          <w:sz w:val="24"/>
          <w:szCs w:val="24"/>
        </w:rPr>
        <w:t xml:space="preserve">Un diglycéride, ou diacylglycérol (DAG), est un </w:t>
      </w:r>
      <w:hyperlink r:id="rId28" w:tooltip="Glycéride" w:history="1">
        <w:r w:rsidRPr="000F3877">
          <w:rPr>
            <w:rFonts w:asciiTheme="majorBidi" w:hAnsiTheme="majorBidi" w:cstheme="majorBidi"/>
            <w:sz w:val="24"/>
            <w:szCs w:val="24"/>
          </w:rPr>
          <w:t>glycéride</w:t>
        </w:r>
      </w:hyperlink>
      <w:r w:rsidRPr="000F3877">
        <w:rPr>
          <w:rFonts w:asciiTheme="majorBidi" w:hAnsiTheme="majorBidi" w:cstheme="majorBidi"/>
          <w:sz w:val="24"/>
          <w:szCs w:val="24"/>
        </w:rPr>
        <w:t xml:space="preserve"> formé de deux </w:t>
      </w:r>
      <w:hyperlink r:id="rId29" w:tooltip="Résidu (biochimie)" w:history="1">
        <w:r w:rsidRPr="000F3877">
          <w:rPr>
            <w:rFonts w:asciiTheme="majorBidi" w:hAnsiTheme="majorBidi" w:cstheme="majorBidi"/>
            <w:sz w:val="24"/>
            <w:szCs w:val="24"/>
          </w:rPr>
          <w:t>résidus</w:t>
        </w:r>
      </w:hyperlink>
      <w:r w:rsidRPr="000F3877">
        <w:rPr>
          <w:rFonts w:asciiTheme="majorBidi" w:hAnsiTheme="majorBidi" w:cstheme="majorBidi"/>
          <w:sz w:val="24"/>
          <w:szCs w:val="24"/>
        </w:rPr>
        <w:t xml:space="preserve"> d'</w:t>
      </w:r>
      <w:hyperlink r:id="rId30" w:tooltip="Acide gras" w:history="1">
        <w:r w:rsidRPr="000F3877">
          <w:rPr>
            <w:rFonts w:asciiTheme="majorBidi" w:hAnsiTheme="majorBidi" w:cstheme="majorBidi"/>
            <w:sz w:val="24"/>
            <w:szCs w:val="24"/>
          </w:rPr>
          <w:t>acide gras</w:t>
        </w:r>
      </w:hyperlink>
      <w:r w:rsidRPr="000F3877">
        <w:rPr>
          <w:rFonts w:asciiTheme="majorBidi" w:hAnsiTheme="majorBidi" w:cstheme="majorBidi"/>
          <w:sz w:val="24"/>
          <w:szCs w:val="24"/>
        </w:rPr>
        <w:t xml:space="preserve"> liés de façon </w:t>
      </w:r>
      <w:hyperlink r:id="rId31" w:tooltip="Liaison covalente" w:history="1">
        <w:r w:rsidRPr="000F3877">
          <w:rPr>
            <w:rFonts w:asciiTheme="majorBidi" w:hAnsiTheme="majorBidi" w:cstheme="majorBidi"/>
            <w:sz w:val="24"/>
            <w:szCs w:val="24"/>
          </w:rPr>
          <w:t>covalente</w:t>
        </w:r>
      </w:hyperlink>
      <w:r w:rsidRPr="000F3877">
        <w:rPr>
          <w:rFonts w:asciiTheme="majorBidi" w:hAnsiTheme="majorBidi" w:cstheme="majorBidi"/>
          <w:sz w:val="24"/>
          <w:szCs w:val="24"/>
        </w:rPr>
        <w:t xml:space="preserve"> à un résidu de </w:t>
      </w:r>
      <w:hyperlink r:id="rId32" w:tooltip="Glycérol" w:history="1">
        <w:r w:rsidRPr="000F3877">
          <w:rPr>
            <w:rFonts w:asciiTheme="majorBidi" w:hAnsiTheme="majorBidi" w:cstheme="majorBidi"/>
            <w:sz w:val="24"/>
            <w:szCs w:val="24"/>
          </w:rPr>
          <w:t>glycérol</w:t>
        </w:r>
      </w:hyperlink>
      <w:r w:rsidRPr="000F3877">
        <w:rPr>
          <w:rFonts w:asciiTheme="majorBidi" w:hAnsiTheme="majorBidi" w:cstheme="majorBidi"/>
          <w:sz w:val="24"/>
          <w:szCs w:val="24"/>
        </w:rPr>
        <w:t xml:space="preserve"> en formant des </w:t>
      </w:r>
      <w:hyperlink r:id="rId33" w:tooltip="Ester" w:history="1">
        <w:r w:rsidRPr="000F3877">
          <w:rPr>
            <w:rFonts w:asciiTheme="majorBidi" w:hAnsiTheme="majorBidi" w:cstheme="majorBidi"/>
            <w:sz w:val="24"/>
            <w:szCs w:val="24"/>
          </w:rPr>
          <w:t>esters</w:t>
        </w:r>
      </w:hyperlink>
      <w:r w:rsidRPr="000F3877">
        <w:rPr>
          <w:rFonts w:asciiTheme="majorBidi" w:hAnsiTheme="majorBidi" w:cstheme="majorBidi"/>
          <w:noProof/>
          <w:sz w:val="24"/>
          <w:szCs w:val="24"/>
        </w:rPr>
        <w:t xml:space="preserve"> </w:t>
      </w:r>
    </w:p>
    <w:p w:rsidR="00B07680" w:rsidRPr="000F3877" w:rsidRDefault="00B07680" w:rsidP="00B07680">
      <w:pPr>
        <w:spacing w:after="0" w:line="360" w:lineRule="auto"/>
        <w:jc w:val="both"/>
        <w:outlineLvl w:val="1"/>
        <w:rPr>
          <w:rFonts w:asciiTheme="majorBidi" w:hAnsiTheme="majorBidi" w:cstheme="majorBidi"/>
          <w:noProof/>
          <w:sz w:val="24"/>
          <w:szCs w:val="24"/>
        </w:rPr>
      </w:pPr>
      <w:r>
        <w:rPr>
          <w:rFonts w:asciiTheme="majorBidi" w:hAnsiTheme="majorBidi" w:cstheme="majorBidi"/>
          <w:sz w:val="24"/>
          <w:szCs w:val="24"/>
        </w:rPr>
        <w:t>L</w:t>
      </w:r>
      <w:r w:rsidRPr="000F3877">
        <w:rPr>
          <w:rFonts w:asciiTheme="majorBidi" w:hAnsiTheme="majorBidi" w:cstheme="majorBidi"/>
          <w:sz w:val="24"/>
          <w:szCs w:val="24"/>
        </w:rPr>
        <w:t xml:space="preserve">es diglycérides interviennent comme </w:t>
      </w:r>
      <w:hyperlink r:id="rId34" w:tooltip="Messager secondaire" w:history="1">
        <w:r w:rsidRPr="000F3877">
          <w:rPr>
            <w:rFonts w:asciiTheme="majorBidi" w:hAnsiTheme="majorBidi" w:cstheme="majorBidi"/>
            <w:sz w:val="24"/>
            <w:szCs w:val="24"/>
          </w:rPr>
          <w:t>messagers secondaires</w:t>
        </w:r>
      </w:hyperlink>
      <w:r w:rsidRPr="000F3877">
        <w:rPr>
          <w:rFonts w:asciiTheme="majorBidi" w:hAnsiTheme="majorBidi" w:cstheme="majorBidi"/>
          <w:sz w:val="24"/>
          <w:szCs w:val="24"/>
        </w:rPr>
        <w:t xml:space="preserve"> de la </w:t>
      </w:r>
      <w:hyperlink r:id="rId35" w:tooltip="Signalisation lipidique" w:history="1">
        <w:r w:rsidRPr="000F3877">
          <w:rPr>
            <w:rFonts w:asciiTheme="majorBidi" w:hAnsiTheme="majorBidi" w:cstheme="majorBidi"/>
            <w:sz w:val="24"/>
            <w:szCs w:val="24"/>
          </w:rPr>
          <w:t>signalisation lipidique</w:t>
        </w:r>
      </w:hyperlink>
      <w:r w:rsidRPr="000F3877">
        <w:rPr>
          <w:rFonts w:asciiTheme="majorBidi" w:hAnsiTheme="majorBidi" w:cstheme="majorBidi"/>
          <w:sz w:val="24"/>
          <w:szCs w:val="24"/>
        </w:rPr>
        <w:t>. Ils résultent de l'</w:t>
      </w:r>
      <w:hyperlink r:id="rId36" w:tooltip="Hydrolyse" w:history="1">
        <w:r w:rsidRPr="000F3877">
          <w:rPr>
            <w:rFonts w:asciiTheme="majorBidi" w:hAnsiTheme="majorBidi" w:cstheme="majorBidi"/>
            <w:sz w:val="24"/>
            <w:szCs w:val="24"/>
          </w:rPr>
          <w:t>hydrolyse</w:t>
        </w:r>
      </w:hyperlink>
      <w:r w:rsidRPr="000F3877">
        <w:rPr>
          <w:rFonts w:asciiTheme="majorBidi" w:hAnsiTheme="majorBidi" w:cstheme="majorBidi"/>
          <w:sz w:val="24"/>
          <w:szCs w:val="24"/>
        </w:rPr>
        <w:t xml:space="preserve"> de </w:t>
      </w:r>
      <w:hyperlink r:id="rId37" w:tooltip="Phosphatidylinositol-4,5-diphosphate" w:history="1">
        <w:r w:rsidRPr="000F3877">
          <w:rPr>
            <w:rFonts w:asciiTheme="majorBidi" w:hAnsiTheme="majorBidi" w:cstheme="majorBidi"/>
            <w:sz w:val="24"/>
            <w:szCs w:val="24"/>
          </w:rPr>
          <w:t>phosphatidylinositol-4,5-diphosphate</w:t>
        </w:r>
      </w:hyperlink>
      <w:r w:rsidRPr="000F3877">
        <w:rPr>
          <w:rFonts w:asciiTheme="majorBidi" w:hAnsiTheme="majorBidi" w:cstheme="majorBidi"/>
          <w:sz w:val="24"/>
          <w:szCs w:val="24"/>
        </w:rPr>
        <w:t xml:space="preserve"> (PIP</w:t>
      </w:r>
      <w:r w:rsidRPr="000F3877">
        <w:rPr>
          <w:rFonts w:asciiTheme="majorBidi" w:hAnsiTheme="majorBidi" w:cstheme="majorBidi"/>
          <w:sz w:val="24"/>
          <w:szCs w:val="24"/>
          <w:vertAlign w:val="subscript"/>
        </w:rPr>
        <w:t>2</w:t>
      </w:r>
      <w:r w:rsidRPr="000F3877">
        <w:rPr>
          <w:rFonts w:asciiTheme="majorBidi" w:hAnsiTheme="majorBidi" w:cstheme="majorBidi"/>
          <w:sz w:val="24"/>
          <w:szCs w:val="24"/>
        </w:rPr>
        <w:t xml:space="preserve">) par la </w:t>
      </w:r>
      <w:hyperlink r:id="rId38" w:tooltip="Phospholipase C" w:history="1">
        <w:r w:rsidRPr="000F3877">
          <w:rPr>
            <w:rFonts w:asciiTheme="majorBidi" w:hAnsiTheme="majorBidi" w:cstheme="majorBidi"/>
            <w:sz w:val="24"/>
            <w:szCs w:val="24"/>
          </w:rPr>
          <w:t>phospholipase C</w:t>
        </w:r>
      </w:hyperlink>
      <w:r w:rsidRPr="000F3877">
        <w:rPr>
          <w:rFonts w:asciiTheme="majorBidi" w:hAnsiTheme="majorBidi" w:cstheme="majorBidi"/>
          <w:sz w:val="24"/>
          <w:szCs w:val="24"/>
        </w:rPr>
        <w:t xml:space="preserve"> (PLC), une enzyme de la </w:t>
      </w:r>
      <w:hyperlink r:id="rId39" w:tooltip="Membrane cellulaire" w:history="1">
        <w:r w:rsidRPr="000F3877">
          <w:rPr>
            <w:rFonts w:asciiTheme="majorBidi" w:hAnsiTheme="majorBidi" w:cstheme="majorBidi"/>
            <w:sz w:val="24"/>
            <w:szCs w:val="24"/>
          </w:rPr>
          <w:t>membrane cellulaire</w:t>
        </w:r>
      </w:hyperlink>
      <w:r w:rsidRPr="000F3877">
        <w:rPr>
          <w:rFonts w:asciiTheme="majorBidi" w:hAnsiTheme="majorBidi" w:cstheme="majorBidi"/>
          <w:sz w:val="24"/>
          <w:szCs w:val="24"/>
        </w:rPr>
        <w:t>, qui libère ce faisant de l'</w:t>
      </w:r>
      <w:hyperlink r:id="rId40" w:tooltip="Inositol triphosphate" w:history="1">
        <w:r w:rsidRPr="000F3877">
          <w:rPr>
            <w:rFonts w:asciiTheme="majorBidi" w:hAnsiTheme="majorBidi" w:cstheme="majorBidi"/>
            <w:sz w:val="24"/>
            <w:szCs w:val="24"/>
          </w:rPr>
          <w:t>inositol triphosphate</w:t>
        </w:r>
      </w:hyperlink>
      <w:r w:rsidRPr="000F3877">
        <w:rPr>
          <w:rFonts w:asciiTheme="majorBidi" w:hAnsiTheme="majorBidi" w:cstheme="majorBidi"/>
          <w:sz w:val="24"/>
          <w:szCs w:val="24"/>
        </w:rPr>
        <w:t xml:space="preserve"> (IP</w:t>
      </w:r>
      <w:r w:rsidRPr="000F3877">
        <w:rPr>
          <w:rFonts w:asciiTheme="majorBidi" w:hAnsiTheme="majorBidi" w:cstheme="majorBidi"/>
          <w:sz w:val="24"/>
          <w:szCs w:val="24"/>
          <w:vertAlign w:val="subscript"/>
        </w:rPr>
        <w:t>3</w:t>
      </w:r>
      <w:r w:rsidRPr="000F3877">
        <w:rPr>
          <w:rFonts w:asciiTheme="majorBidi" w:hAnsiTheme="majorBidi" w:cstheme="majorBidi"/>
          <w:sz w:val="24"/>
          <w:szCs w:val="24"/>
        </w:rPr>
        <w:t xml:space="preserve">). Ce dernier est dissous dans le </w:t>
      </w:r>
      <w:hyperlink r:id="rId41" w:tooltip="Cytosol" w:history="1">
        <w:r w:rsidRPr="000F3877">
          <w:rPr>
            <w:rFonts w:asciiTheme="majorBidi" w:hAnsiTheme="majorBidi" w:cstheme="majorBidi"/>
            <w:sz w:val="24"/>
            <w:szCs w:val="24"/>
          </w:rPr>
          <w:t>cytosol</w:t>
        </w:r>
      </w:hyperlink>
      <w:r w:rsidRPr="000F3877">
        <w:rPr>
          <w:rFonts w:asciiTheme="majorBidi" w:hAnsiTheme="majorBidi" w:cstheme="majorBidi"/>
          <w:sz w:val="24"/>
          <w:szCs w:val="24"/>
        </w:rPr>
        <w:t xml:space="preserve"> et diffuse dans la </w:t>
      </w:r>
      <w:hyperlink r:id="rId42" w:tooltip="Cellule (biologie)" w:history="1">
        <w:r w:rsidRPr="000F3877">
          <w:rPr>
            <w:rFonts w:asciiTheme="majorBidi" w:hAnsiTheme="majorBidi" w:cstheme="majorBidi"/>
            <w:sz w:val="24"/>
            <w:szCs w:val="24"/>
          </w:rPr>
          <w:t>cellule</w:t>
        </w:r>
      </w:hyperlink>
      <w:r w:rsidRPr="000F3877">
        <w:rPr>
          <w:rFonts w:asciiTheme="majorBidi" w:hAnsiTheme="majorBidi" w:cstheme="majorBidi"/>
          <w:sz w:val="24"/>
          <w:szCs w:val="24"/>
        </w:rPr>
        <w:t xml:space="preserve"> tandis que le DAG demeure dans la </w:t>
      </w:r>
      <w:hyperlink r:id="rId43" w:tooltip="Membrane plasmique" w:history="1">
        <w:r w:rsidRPr="000F3877">
          <w:rPr>
            <w:rFonts w:asciiTheme="majorBidi" w:hAnsiTheme="majorBidi" w:cstheme="majorBidi"/>
            <w:sz w:val="24"/>
            <w:szCs w:val="24"/>
          </w:rPr>
          <w:t>membrane plasmique</w:t>
        </w:r>
      </w:hyperlink>
      <w:r w:rsidRPr="000F3877">
        <w:rPr>
          <w:rFonts w:asciiTheme="majorBidi" w:hAnsiTheme="majorBidi" w:cstheme="majorBidi"/>
          <w:sz w:val="24"/>
          <w:szCs w:val="24"/>
        </w:rPr>
        <w:t xml:space="preserve"> en raison de sa nature </w:t>
      </w:r>
      <w:hyperlink r:id="rId44" w:tooltip="Aliphatique" w:history="1">
        <w:r w:rsidRPr="000F3877">
          <w:rPr>
            <w:rFonts w:asciiTheme="majorBidi" w:hAnsiTheme="majorBidi" w:cstheme="majorBidi"/>
            <w:sz w:val="24"/>
            <w:szCs w:val="24"/>
          </w:rPr>
          <w:t>aliphatique</w:t>
        </w:r>
      </w:hyperlink>
      <w:r w:rsidRPr="000F3877">
        <w:rPr>
          <w:rFonts w:asciiTheme="majorBidi" w:hAnsiTheme="majorBidi" w:cstheme="majorBidi"/>
          <w:sz w:val="24"/>
          <w:szCs w:val="24"/>
        </w:rPr>
        <w:t>. L'IP</w:t>
      </w:r>
      <w:r w:rsidRPr="000F3877">
        <w:rPr>
          <w:rFonts w:asciiTheme="majorBidi" w:hAnsiTheme="majorBidi" w:cstheme="majorBidi"/>
          <w:sz w:val="24"/>
          <w:szCs w:val="24"/>
          <w:vertAlign w:val="subscript"/>
        </w:rPr>
        <w:t>3</w:t>
      </w:r>
      <w:r w:rsidRPr="000F3877">
        <w:rPr>
          <w:rFonts w:asciiTheme="majorBidi" w:hAnsiTheme="majorBidi" w:cstheme="majorBidi"/>
          <w:sz w:val="24"/>
          <w:szCs w:val="24"/>
        </w:rPr>
        <w:t xml:space="preserve"> stimule la pénétration des </w:t>
      </w:r>
      <w:hyperlink r:id="rId45" w:tooltip="Cation" w:history="1">
        <w:r w:rsidRPr="000F3877">
          <w:rPr>
            <w:rFonts w:asciiTheme="majorBidi" w:hAnsiTheme="majorBidi" w:cstheme="majorBidi"/>
            <w:sz w:val="24"/>
            <w:szCs w:val="24"/>
          </w:rPr>
          <w:t>cations</w:t>
        </w:r>
      </w:hyperlink>
      <w:r w:rsidRPr="000F3877">
        <w:rPr>
          <w:rFonts w:asciiTheme="majorBidi" w:hAnsiTheme="majorBidi" w:cstheme="majorBidi"/>
          <w:sz w:val="24"/>
          <w:szCs w:val="24"/>
        </w:rPr>
        <w:t xml:space="preserve"> </w:t>
      </w:r>
      <w:hyperlink r:id="rId46" w:tooltip="Calcium" w:history="1">
        <w:r w:rsidRPr="000F3877">
          <w:rPr>
            <w:rFonts w:asciiTheme="majorBidi" w:hAnsiTheme="majorBidi" w:cstheme="majorBidi"/>
            <w:sz w:val="24"/>
            <w:szCs w:val="24"/>
          </w:rPr>
          <w:t>Ca</w:t>
        </w:r>
        <w:r w:rsidRPr="000F3877">
          <w:rPr>
            <w:rFonts w:asciiTheme="majorBidi" w:hAnsiTheme="majorBidi" w:cstheme="majorBidi"/>
            <w:sz w:val="24"/>
            <w:szCs w:val="24"/>
            <w:vertAlign w:val="superscript"/>
          </w:rPr>
          <w:t>2+</w:t>
        </w:r>
      </w:hyperlink>
      <w:r w:rsidRPr="000F3877">
        <w:rPr>
          <w:rFonts w:asciiTheme="majorBidi" w:hAnsiTheme="majorBidi" w:cstheme="majorBidi"/>
          <w:sz w:val="24"/>
          <w:szCs w:val="24"/>
        </w:rPr>
        <w:t xml:space="preserve"> dans la cellule depuis le </w:t>
      </w:r>
      <w:hyperlink r:id="rId47" w:tooltip="Réticulum endoplasmique" w:history="1">
        <w:r w:rsidRPr="000F3877">
          <w:rPr>
            <w:rFonts w:asciiTheme="majorBidi" w:hAnsiTheme="majorBidi" w:cstheme="majorBidi"/>
            <w:sz w:val="24"/>
            <w:szCs w:val="24"/>
          </w:rPr>
          <w:t>réticulum endoplasmique</w:t>
        </w:r>
      </w:hyperlink>
      <w:r w:rsidRPr="000F3877">
        <w:rPr>
          <w:rFonts w:asciiTheme="majorBidi" w:hAnsiTheme="majorBidi" w:cstheme="majorBidi"/>
          <w:sz w:val="24"/>
          <w:szCs w:val="24"/>
        </w:rPr>
        <w:t xml:space="preserve"> tandis que le DAG est un activateur physiologique de la </w:t>
      </w:r>
      <w:hyperlink r:id="rId48" w:tooltip="Protéine kinase C (page inexistante)" w:history="1">
        <w:r w:rsidRPr="000F3877">
          <w:rPr>
            <w:rFonts w:asciiTheme="majorBidi" w:hAnsiTheme="majorBidi" w:cstheme="majorBidi"/>
            <w:sz w:val="24"/>
            <w:szCs w:val="24"/>
          </w:rPr>
          <w:t>protéine kinase C</w:t>
        </w:r>
      </w:hyperlink>
      <w:r w:rsidRPr="000F3877">
        <w:rPr>
          <w:rFonts w:asciiTheme="majorBidi" w:hAnsiTheme="majorBidi" w:cstheme="majorBidi"/>
          <w:sz w:val="24"/>
          <w:szCs w:val="24"/>
        </w:rPr>
        <w:t xml:space="preserve"> (PKC). La production de DAG dans la membrane facilite la translocation de la PKC depuis le cytosol vers la membrane plasmique.(Figure</w:t>
      </w:r>
      <w:r>
        <w:rPr>
          <w:rFonts w:asciiTheme="majorBidi" w:hAnsiTheme="majorBidi" w:cstheme="majorBidi"/>
          <w:sz w:val="24"/>
          <w:szCs w:val="24"/>
        </w:rPr>
        <w:t xml:space="preserve"> 29</w:t>
      </w:r>
      <w:r w:rsidRPr="000F3877">
        <w:rPr>
          <w:rFonts w:asciiTheme="majorBidi" w:hAnsiTheme="majorBidi" w:cstheme="majorBidi"/>
          <w:sz w:val="24"/>
          <w:szCs w:val="24"/>
        </w:rPr>
        <w:t xml:space="preserve">) </w:t>
      </w:r>
    </w:p>
    <w:p w:rsidR="00B07680" w:rsidRDefault="00B07680" w:rsidP="00B07680">
      <w:pPr>
        <w:spacing w:before="100" w:beforeAutospacing="1" w:after="30" w:line="360" w:lineRule="auto"/>
        <w:jc w:val="center"/>
        <w:outlineLvl w:val="1"/>
        <w:rPr>
          <w:rFonts w:asciiTheme="majorBidi" w:hAnsiTheme="majorBidi" w:cstheme="majorBidi"/>
          <w:sz w:val="24"/>
          <w:szCs w:val="24"/>
        </w:rPr>
      </w:pPr>
      <w:r w:rsidRPr="000F3877">
        <w:rPr>
          <w:rFonts w:asciiTheme="majorBidi" w:hAnsiTheme="majorBidi" w:cstheme="majorBidi"/>
          <w:noProof/>
          <w:sz w:val="24"/>
          <w:szCs w:val="24"/>
        </w:rPr>
        <w:lastRenderedPageBreak/>
        <w:drawing>
          <wp:inline distT="0" distB="0" distL="0" distR="0" wp14:anchorId="2C73564B" wp14:editId="5FC257B5">
            <wp:extent cx="3960000" cy="3636000"/>
            <wp:effectExtent l="19050" t="19050" r="21590" b="22225"/>
            <wp:docPr id="11" name="Image 11" descr="http://upload.wikimedia.org/wikipedia/commons/thumb/3/38/PIP2_cleavage_to_IP3_and_DAG.jpg/640px-PIP2_cleavage_to_IP3_and_DA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8/PIP2_cleavage_to_IP3_and_DAG.jpg/640px-PIP2_cleavage_to_IP3_and_DAG.jpg"/>
                    <pic:cNvPicPr preferRelativeResize="0">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960000" cy="3636000"/>
                    </a:xfrm>
                    <a:prstGeom prst="rect">
                      <a:avLst/>
                    </a:prstGeom>
                    <a:noFill/>
                    <a:ln>
                      <a:solidFill>
                        <a:sysClr val="windowText" lastClr="000000"/>
                      </a:solidFill>
                    </a:ln>
                  </pic:spPr>
                </pic:pic>
              </a:graphicData>
            </a:graphic>
          </wp:inline>
        </w:drawing>
      </w:r>
    </w:p>
    <w:p w:rsidR="00B07680" w:rsidRPr="003E75FB" w:rsidRDefault="00B07680" w:rsidP="00B07680">
      <w:pPr>
        <w:spacing w:before="100" w:beforeAutospacing="1" w:after="30" w:line="360" w:lineRule="auto"/>
        <w:jc w:val="center"/>
        <w:outlineLvl w:val="1"/>
        <w:rPr>
          <w:rFonts w:asciiTheme="majorBidi" w:hAnsiTheme="majorBidi" w:cstheme="majorBidi"/>
          <w:b/>
          <w:bCs/>
          <w:sz w:val="24"/>
          <w:szCs w:val="24"/>
        </w:rPr>
      </w:pPr>
      <w:r w:rsidRPr="003E75FB">
        <w:rPr>
          <w:rFonts w:asciiTheme="majorBidi" w:hAnsiTheme="majorBidi" w:cstheme="majorBidi"/>
          <w:b/>
          <w:bCs/>
          <w:sz w:val="24"/>
          <w:szCs w:val="24"/>
        </w:rPr>
        <w:t>Figure 29 : Monde d’action de diacylglycérol (DAG)</w:t>
      </w:r>
    </w:p>
    <w:p w:rsidR="00B07680" w:rsidRPr="007E4C2C" w:rsidRDefault="00B07680" w:rsidP="00B07680">
      <w:pPr>
        <w:spacing w:before="100" w:beforeAutospacing="1" w:after="30" w:line="360" w:lineRule="auto"/>
        <w:outlineLvl w:val="1"/>
        <w:rPr>
          <w:rFonts w:asciiTheme="majorBidi" w:hAnsiTheme="majorBidi" w:cstheme="majorBidi"/>
          <w:b/>
          <w:bCs/>
          <w:sz w:val="24"/>
          <w:szCs w:val="24"/>
        </w:rPr>
      </w:pPr>
      <w:r w:rsidRPr="007E4C2C">
        <w:rPr>
          <w:rFonts w:asciiTheme="majorBidi" w:hAnsiTheme="majorBidi" w:cstheme="majorBidi"/>
          <w:b/>
          <w:bCs/>
          <w:sz w:val="24"/>
          <w:szCs w:val="24"/>
        </w:rPr>
        <w:t>IV-3-4 Inositol-triphosphate (IP3)</w:t>
      </w:r>
    </w:p>
    <w:p w:rsidR="00B07680" w:rsidRPr="000F3877" w:rsidRDefault="00B07680" w:rsidP="00B07680">
      <w:pPr>
        <w:numPr>
          <w:ilvl w:val="0"/>
          <w:numId w:val="4"/>
        </w:numPr>
        <w:spacing w:before="100" w:beforeAutospacing="1" w:after="100" w:afterAutospacing="1"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L’inositol triphosphate (1,4,5-triphosphate) est le résultat de l’hydrolyse d’un phospholipide membranaire le phosphatidyl-inositol-diphosphate (PIP2) par une phospholipase C. Cette réaction est commandée par plusieurs types de récepteurs.</w:t>
      </w:r>
    </w:p>
    <w:p w:rsidR="00B07680" w:rsidRPr="000F3877" w:rsidRDefault="00B07680" w:rsidP="00B07680">
      <w:pPr>
        <w:numPr>
          <w:ilvl w:val="0"/>
          <w:numId w:val="4"/>
        </w:numPr>
        <w:spacing w:before="100" w:beforeAutospacing="1" w:after="100" w:afterAutospacing="1"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L’inositol triphosphate est un second messager, qui facilite la libération du Calcium contenu dans les citernes du reticulum endoplasmique.</w:t>
      </w:r>
    </w:p>
    <w:p w:rsidR="00B07680" w:rsidRPr="000F3877" w:rsidRDefault="00B07680" w:rsidP="00B07680">
      <w:pPr>
        <w:numPr>
          <w:ilvl w:val="0"/>
          <w:numId w:val="4"/>
        </w:numPr>
        <w:spacing w:before="100" w:beforeAutospacing="1" w:after="100" w:afterAutospacing="1"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La dégradation de l’inositol 1,4,5-triphosphate par une inositol 5-phosphatase provoque l’extinction du signal.</w:t>
      </w:r>
    </w:p>
    <w:p w:rsidR="00B07680" w:rsidRPr="000F3877" w:rsidRDefault="00B07680" w:rsidP="00B07680">
      <w:pPr>
        <w:numPr>
          <w:ilvl w:val="0"/>
          <w:numId w:val="4"/>
        </w:numPr>
        <w:spacing w:before="100" w:beforeAutospacing="1" w:after="100" w:afterAutospacing="1"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L’inositol 1,3,4,5-tétraphosphate (IP4) est obtenu par une nouvelle phosphorylation de l’IP3. Il agirait plus spécifiquement sur des canaux Calcium de la membrane plasmique permettant l’entrée du Ca</w:t>
      </w:r>
      <w:r w:rsidRPr="000F3877">
        <w:rPr>
          <w:rFonts w:asciiTheme="majorBidi" w:eastAsia="Times New Roman" w:hAnsiTheme="majorBidi" w:cstheme="majorBidi"/>
          <w:sz w:val="24"/>
          <w:szCs w:val="24"/>
          <w:vertAlign w:val="superscript"/>
        </w:rPr>
        <w:t>++</w:t>
      </w:r>
      <w:r>
        <w:rPr>
          <w:rFonts w:asciiTheme="majorBidi" w:eastAsia="Times New Roman" w:hAnsiTheme="majorBidi" w:cstheme="majorBidi"/>
          <w:sz w:val="24"/>
          <w:szCs w:val="24"/>
        </w:rPr>
        <w:t xml:space="preserve"> extracellulaire (Figure 30)</w:t>
      </w:r>
    </w:p>
    <w:p w:rsidR="00B07680" w:rsidRPr="000F3877" w:rsidRDefault="00B07680" w:rsidP="00B07680">
      <w:pPr>
        <w:numPr>
          <w:ilvl w:val="0"/>
          <w:numId w:val="4"/>
        </w:numPr>
        <w:spacing w:before="100" w:beforeAutospacing="1" w:after="100" w:afterAutospacing="1" w:line="360" w:lineRule="auto"/>
        <w:ind w:left="0" w:firstLine="0"/>
        <w:jc w:val="both"/>
        <w:rPr>
          <w:rFonts w:asciiTheme="majorBidi" w:eastAsia="Times New Roman" w:hAnsiTheme="majorBidi" w:cstheme="majorBidi"/>
          <w:sz w:val="24"/>
          <w:szCs w:val="24"/>
        </w:rPr>
      </w:pPr>
      <w:r w:rsidRPr="000F3877">
        <w:rPr>
          <w:rFonts w:asciiTheme="majorBidi" w:eastAsia="Times New Roman" w:hAnsiTheme="majorBidi" w:cstheme="majorBidi"/>
          <w:sz w:val="24"/>
          <w:szCs w:val="24"/>
        </w:rPr>
        <w:t>Les autres inositol-phosphates (1,3,4-IP3, 1,4-IP2, 1-IP et 4-IP) sont des intermédiaires du cycle des phosphoinositides, obtenus par hydrolyses successives des phosphates du 1,4,5-IP3 et 1,3,4,5-IP4 actifs</w:t>
      </w:r>
      <w:r>
        <w:rPr>
          <w:rFonts w:asciiTheme="majorBidi" w:eastAsia="Times New Roman" w:hAnsiTheme="majorBidi" w:cstheme="majorBidi"/>
          <w:sz w:val="24"/>
          <w:szCs w:val="24"/>
        </w:rPr>
        <w:t>.</w:t>
      </w:r>
    </w:p>
    <w:p w:rsidR="00B07680" w:rsidRPr="000F3877" w:rsidRDefault="00B07680" w:rsidP="00B07680">
      <w:pPr>
        <w:spacing w:before="100" w:beforeAutospacing="1" w:after="100" w:afterAutospacing="1" w:line="360" w:lineRule="auto"/>
        <w:jc w:val="both"/>
        <w:rPr>
          <w:rFonts w:asciiTheme="majorBidi" w:eastAsia="Times New Roman" w:hAnsiTheme="majorBidi" w:cstheme="majorBidi"/>
          <w:sz w:val="24"/>
          <w:szCs w:val="24"/>
        </w:rPr>
      </w:pPr>
    </w:p>
    <w:p w:rsidR="00B07680" w:rsidRPr="000F3877" w:rsidRDefault="00B07680" w:rsidP="00B07680">
      <w:pPr>
        <w:spacing w:before="100" w:beforeAutospacing="1" w:after="30" w:line="360" w:lineRule="auto"/>
        <w:outlineLvl w:val="1"/>
        <w:rPr>
          <w:rFonts w:asciiTheme="majorBidi" w:hAnsiTheme="majorBidi" w:cstheme="majorBidi"/>
          <w:b/>
          <w:bCs/>
          <w:sz w:val="24"/>
          <w:szCs w:val="24"/>
        </w:rPr>
      </w:pPr>
    </w:p>
    <w:p w:rsidR="00B07680" w:rsidRDefault="00B07680" w:rsidP="00B07680">
      <w:pPr>
        <w:spacing w:before="100" w:beforeAutospacing="1" w:after="30" w:line="360" w:lineRule="auto"/>
        <w:jc w:val="center"/>
        <w:outlineLvl w:val="1"/>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3DAB9A23" wp14:editId="7B451351">
            <wp:extent cx="3960000" cy="3600000"/>
            <wp:effectExtent l="19050" t="19050" r="21590" b="19685"/>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960000" cy="3600000"/>
                    </a:xfrm>
                    <a:prstGeom prst="rect">
                      <a:avLst/>
                    </a:prstGeom>
                    <a:noFill/>
                    <a:ln>
                      <a:solidFill>
                        <a:sysClr val="windowText" lastClr="000000"/>
                      </a:solidFill>
                    </a:ln>
                  </pic:spPr>
                </pic:pic>
              </a:graphicData>
            </a:graphic>
          </wp:inline>
        </w:drawing>
      </w:r>
    </w:p>
    <w:p w:rsidR="00B07680" w:rsidRPr="00F75CE3" w:rsidRDefault="00B07680" w:rsidP="00B07680">
      <w:pPr>
        <w:spacing w:before="100" w:beforeAutospacing="1" w:after="30" w:line="360" w:lineRule="auto"/>
        <w:jc w:val="center"/>
        <w:outlineLvl w:val="1"/>
        <w:rPr>
          <w:rFonts w:asciiTheme="majorBidi" w:hAnsiTheme="majorBidi" w:cstheme="majorBidi"/>
          <w:b/>
          <w:bCs/>
          <w:sz w:val="24"/>
          <w:szCs w:val="24"/>
        </w:rPr>
      </w:pPr>
      <w:r w:rsidRPr="00F75CE3">
        <w:rPr>
          <w:rFonts w:asciiTheme="majorBidi" w:hAnsiTheme="majorBidi" w:cstheme="majorBidi"/>
          <w:b/>
          <w:bCs/>
          <w:sz w:val="24"/>
          <w:szCs w:val="24"/>
        </w:rPr>
        <w:t>Figure 30 :  Mode d’action d’Inositol-triphosphate (IP3)</w:t>
      </w:r>
    </w:p>
    <w:p w:rsidR="00B07680" w:rsidRPr="00D460E1" w:rsidRDefault="00B07680" w:rsidP="00B07680">
      <w:pPr>
        <w:spacing w:before="100" w:beforeAutospacing="1" w:after="30" w:line="360" w:lineRule="auto"/>
        <w:outlineLvl w:val="1"/>
        <w:rPr>
          <w:rFonts w:asciiTheme="majorBidi" w:hAnsiTheme="majorBidi" w:cstheme="majorBidi"/>
          <w:b/>
          <w:bCs/>
          <w:sz w:val="24"/>
          <w:szCs w:val="24"/>
        </w:rPr>
      </w:pPr>
      <w:r w:rsidRPr="00D460E1">
        <w:rPr>
          <w:rFonts w:asciiTheme="majorBidi" w:hAnsiTheme="majorBidi" w:cstheme="majorBidi"/>
          <w:b/>
          <w:bCs/>
          <w:sz w:val="24"/>
          <w:szCs w:val="24"/>
        </w:rPr>
        <w:t>IV-3-5 Calcium (Ca++)</w:t>
      </w:r>
    </w:p>
    <w:p w:rsidR="00B07680" w:rsidRPr="00F75CE3" w:rsidRDefault="00B07680" w:rsidP="00B07680">
      <w:pPr>
        <w:spacing w:after="0" w:line="360" w:lineRule="auto"/>
        <w:jc w:val="both"/>
        <w:rPr>
          <w:rFonts w:asciiTheme="majorBidi" w:eastAsiaTheme="minorHAnsi" w:hAnsiTheme="majorBidi" w:cstheme="majorBidi"/>
          <w:color w:val="000000"/>
          <w:sz w:val="24"/>
          <w:szCs w:val="24"/>
          <w:lang w:eastAsia="en-US"/>
        </w:rPr>
      </w:pPr>
      <w:r w:rsidRPr="00F75CE3">
        <w:rPr>
          <w:rFonts w:asciiTheme="majorBidi" w:eastAsiaTheme="minorHAnsi" w:hAnsiTheme="majorBidi" w:cstheme="majorBidi"/>
          <w:color w:val="000000"/>
          <w:sz w:val="24"/>
          <w:szCs w:val="24"/>
          <w:lang w:eastAsia="en-US"/>
        </w:rPr>
        <w:t xml:space="preserve"> A l’intérieur du cytosol, il y a des différences de concentrations en calcium entre les compartiments. Par exemple, celle-ci est très importante au sein du réticulum endoplasmique. </w:t>
      </w:r>
    </w:p>
    <w:p w:rsidR="00B07680" w:rsidRPr="000F3877" w:rsidRDefault="00B07680" w:rsidP="00B07680">
      <w:pPr>
        <w:autoSpaceDE w:val="0"/>
        <w:autoSpaceDN w:val="0"/>
        <w:adjustRightInd w:val="0"/>
        <w:spacing w:after="0" w:line="360" w:lineRule="auto"/>
        <w:jc w:val="both"/>
        <w:rPr>
          <w:rFonts w:asciiTheme="majorBidi" w:eastAsiaTheme="minorHAnsi" w:hAnsiTheme="majorBidi" w:cstheme="majorBidi"/>
          <w:color w:val="000000"/>
          <w:sz w:val="24"/>
          <w:szCs w:val="24"/>
          <w:lang w:eastAsia="en-US"/>
        </w:rPr>
      </w:pPr>
      <w:r w:rsidRPr="000F3877">
        <w:rPr>
          <w:rFonts w:asciiTheme="majorBidi" w:eastAsiaTheme="minorHAnsi" w:hAnsiTheme="majorBidi" w:cstheme="majorBidi"/>
          <w:color w:val="000000"/>
          <w:sz w:val="24"/>
          <w:szCs w:val="24"/>
          <w:lang w:eastAsia="en-US"/>
        </w:rPr>
        <w:t>la calmoduline, une protéine qui se lie au calcium Ca2+ et module ainsi le signal calcique. Il existe des protéines kinases calmoduline-dépendantes qui, une fois activées, phosphorylent des protéines et induisent la réponse cellulaire ( stimulation –sécrétion, excitation-contraction, activation neuronale…etc.)</w:t>
      </w:r>
    </w:p>
    <w:p w:rsidR="00B07680" w:rsidRPr="000F3877" w:rsidRDefault="00B07680" w:rsidP="00B07680">
      <w:pPr>
        <w:autoSpaceDE w:val="0"/>
        <w:autoSpaceDN w:val="0"/>
        <w:adjustRightInd w:val="0"/>
        <w:spacing w:after="0" w:line="360" w:lineRule="auto"/>
        <w:jc w:val="both"/>
        <w:rPr>
          <w:rFonts w:asciiTheme="majorBidi" w:eastAsiaTheme="minorHAnsi" w:hAnsiTheme="majorBidi" w:cstheme="majorBidi"/>
          <w:color w:val="000000"/>
          <w:sz w:val="24"/>
          <w:szCs w:val="24"/>
          <w:lang w:eastAsia="en-US"/>
        </w:rPr>
      </w:pPr>
      <w:r w:rsidRPr="000F3877">
        <w:rPr>
          <w:rFonts w:asciiTheme="majorBidi" w:eastAsiaTheme="minorHAnsi" w:hAnsiTheme="majorBidi" w:cstheme="majorBidi"/>
          <w:color w:val="000000"/>
          <w:sz w:val="24"/>
          <w:szCs w:val="24"/>
          <w:lang w:eastAsia="en-US"/>
        </w:rPr>
        <w:t xml:space="preserve">L’augmentation de la concentration cytosolique de Ca2+ est dû aux phénomènes suivants </w:t>
      </w:r>
    </w:p>
    <w:p w:rsidR="00B07680" w:rsidRPr="000F3877" w:rsidRDefault="00B07680" w:rsidP="00B07680">
      <w:pPr>
        <w:autoSpaceDE w:val="0"/>
        <w:autoSpaceDN w:val="0"/>
        <w:adjustRightInd w:val="0"/>
        <w:spacing w:after="0" w:line="360" w:lineRule="auto"/>
        <w:jc w:val="both"/>
        <w:rPr>
          <w:rFonts w:asciiTheme="majorBidi" w:eastAsiaTheme="minorHAnsi" w:hAnsiTheme="majorBidi" w:cstheme="majorBidi"/>
          <w:color w:val="000000"/>
          <w:sz w:val="24"/>
          <w:szCs w:val="24"/>
          <w:lang w:eastAsia="en-US"/>
        </w:rPr>
      </w:pPr>
      <w:r w:rsidRPr="000F3877">
        <w:rPr>
          <w:rFonts w:asciiTheme="majorBidi" w:eastAsiaTheme="minorHAnsi" w:hAnsiTheme="majorBidi" w:cstheme="majorBidi"/>
          <w:color w:val="000000"/>
          <w:sz w:val="24"/>
          <w:szCs w:val="24"/>
          <w:lang w:eastAsia="en-US"/>
        </w:rPr>
        <w:t xml:space="preserve">1-  Activation du récepteur </w:t>
      </w:r>
    </w:p>
    <w:p w:rsidR="00B07680" w:rsidRPr="00F75CE3" w:rsidRDefault="00B07680" w:rsidP="00B07680">
      <w:pPr>
        <w:spacing w:after="0" w:line="360" w:lineRule="auto"/>
        <w:jc w:val="both"/>
        <w:rPr>
          <w:rFonts w:asciiTheme="majorBidi" w:eastAsiaTheme="minorHAnsi" w:hAnsiTheme="majorBidi" w:cstheme="majorBidi"/>
          <w:color w:val="000000"/>
          <w:sz w:val="24"/>
          <w:szCs w:val="24"/>
          <w:lang w:eastAsia="en-US"/>
        </w:rPr>
      </w:pPr>
      <w:r w:rsidRPr="00F75CE3">
        <w:rPr>
          <w:rFonts w:asciiTheme="majorBidi" w:eastAsiaTheme="minorHAnsi" w:hAnsiTheme="majorBidi" w:cstheme="majorBidi"/>
          <w:color w:val="000000"/>
          <w:sz w:val="24"/>
          <w:szCs w:val="24"/>
          <w:lang w:eastAsia="en-US"/>
        </w:rPr>
        <w:t xml:space="preserve">- Les canaux calciques de la  membrane plasmique s’ouvrent en réponse au premier messager, le récepteur lui-même peut contenir le canal ou activer une protéine G qui ouvre le canal via un second messager. </w:t>
      </w:r>
    </w:p>
    <w:p w:rsidR="00B07680" w:rsidRPr="000F3877" w:rsidRDefault="00B07680" w:rsidP="00B07680">
      <w:pPr>
        <w:spacing w:after="0" w:line="360" w:lineRule="auto"/>
        <w:jc w:val="both"/>
        <w:rPr>
          <w:rFonts w:asciiTheme="majorBidi" w:eastAsiaTheme="minorHAnsi" w:hAnsiTheme="majorBidi" w:cstheme="majorBidi"/>
          <w:color w:val="000000"/>
          <w:sz w:val="24"/>
          <w:szCs w:val="24"/>
          <w:lang w:eastAsia="en-US"/>
        </w:rPr>
      </w:pPr>
      <w:r w:rsidRPr="000F3877">
        <w:rPr>
          <w:rFonts w:asciiTheme="majorBidi" w:eastAsiaTheme="minorHAnsi" w:hAnsiTheme="majorBidi" w:cstheme="majorBidi"/>
          <w:color w:val="000000"/>
          <w:sz w:val="24"/>
          <w:szCs w:val="24"/>
          <w:lang w:eastAsia="en-US"/>
        </w:rPr>
        <w:t xml:space="preserve">- Le calcium est libéré du réticulum endoplasmique; ce phénomène est médié par des seconds messagers, notamment IP3 et le calcium qui provient du liquide extracellulaire. </w:t>
      </w:r>
    </w:p>
    <w:p w:rsidR="00B07680" w:rsidRPr="000F3877" w:rsidRDefault="00B07680" w:rsidP="00B07680">
      <w:pPr>
        <w:autoSpaceDE w:val="0"/>
        <w:autoSpaceDN w:val="0"/>
        <w:adjustRightInd w:val="0"/>
        <w:spacing w:after="0" w:line="360" w:lineRule="auto"/>
        <w:jc w:val="both"/>
        <w:rPr>
          <w:rFonts w:asciiTheme="majorBidi" w:eastAsiaTheme="minorHAnsi" w:hAnsiTheme="majorBidi" w:cstheme="majorBidi"/>
          <w:color w:val="000000"/>
          <w:sz w:val="24"/>
          <w:szCs w:val="24"/>
          <w:lang w:eastAsia="en-US"/>
        </w:rPr>
      </w:pPr>
      <w:r w:rsidRPr="000F3877">
        <w:rPr>
          <w:rFonts w:asciiTheme="majorBidi" w:eastAsiaTheme="minorHAnsi" w:hAnsiTheme="majorBidi" w:cstheme="majorBidi"/>
          <w:color w:val="000000"/>
          <w:sz w:val="24"/>
          <w:szCs w:val="24"/>
          <w:lang w:eastAsia="en-US"/>
        </w:rPr>
        <w:t>2- Ouverture des canaux calciques  potentiel-dépendants (Figure</w:t>
      </w:r>
      <w:r>
        <w:rPr>
          <w:rFonts w:asciiTheme="majorBidi" w:eastAsiaTheme="minorHAnsi" w:hAnsiTheme="majorBidi" w:cstheme="majorBidi"/>
          <w:color w:val="000000"/>
          <w:sz w:val="24"/>
          <w:szCs w:val="24"/>
          <w:lang w:eastAsia="en-US"/>
        </w:rPr>
        <w:t xml:space="preserve"> 31</w:t>
      </w:r>
      <w:r w:rsidRPr="000F3877">
        <w:rPr>
          <w:rFonts w:asciiTheme="majorBidi" w:eastAsiaTheme="minorHAnsi" w:hAnsiTheme="majorBidi" w:cstheme="majorBidi"/>
          <w:color w:val="000000"/>
          <w:sz w:val="24"/>
          <w:szCs w:val="24"/>
          <w:lang w:eastAsia="en-US"/>
        </w:rPr>
        <w:t xml:space="preserve"> ) </w:t>
      </w:r>
    </w:p>
    <w:p w:rsidR="00B07680" w:rsidRPr="000F3877" w:rsidRDefault="00B07680" w:rsidP="00B07680">
      <w:pPr>
        <w:autoSpaceDE w:val="0"/>
        <w:autoSpaceDN w:val="0"/>
        <w:adjustRightInd w:val="0"/>
        <w:spacing w:after="13" w:line="360" w:lineRule="auto"/>
        <w:jc w:val="both"/>
        <w:rPr>
          <w:rFonts w:asciiTheme="majorBidi" w:eastAsiaTheme="minorHAnsi" w:hAnsiTheme="majorBidi" w:cstheme="majorBidi"/>
          <w:color w:val="000000"/>
          <w:sz w:val="24"/>
          <w:szCs w:val="24"/>
          <w:lang w:eastAsia="en-US"/>
        </w:rPr>
      </w:pPr>
    </w:p>
    <w:p w:rsidR="00B07680" w:rsidRPr="000F3877" w:rsidRDefault="00B07680" w:rsidP="00B07680">
      <w:pPr>
        <w:spacing w:before="100" w:beforeAutospacing="1" w:after="30" w:line="360" w:lineRule="auto"/>
        <w:jc w:val="center"/>
        <w:outlineLvl w:val="1"/>
        <w:rPr>
          <w:rFonts w:asciiTheme="majorBidi" w:hAnsiTheme="majorBidi" w:cstheme="majorBidi"/>
          <w:sz w:val="24"/>
          <w:szCs w:val="24"/>
        </w:rPr>
      </w:pPr>
      <w:r w:rsidRPr="000F3877">
        <w:rPr>
          <w:rFonts w:asciiTheme="majorBidi" w:hAnsiTheme="majorBidi" w:cstheme="majorBidi"/>
          <w:noProof/>
          <w:sz w:val="24"/>
          <w:szCs w:val="24"/>
        </w:rPr>
        <w:drawing>
          <wp:inline distT="0" distB="0" distL="0" distR="0" wp14:anchorId="24030C21" wp14:editId="23F511A7">
            <wp:extent cx="3960000" cy="3600000"/>
            <wp:effectExtent l="19050" t="19050" r="21590" b="1968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60000" cy="3600000"/>
                    </a:xfrm>
                    <a:prstGeom prst="rect">
                      <a:avLst/>
                    </a:prstGeom>
                    <a:noFill/>
                    <a:ln>
                      <a:solidFill>
                        <a:sysClr val="windowText" lastClr="000000"/>
                      </a:solidFill>
                    </a:ln>
                  </pic:spPr>
                </pic:pic>
              </a:graphicData>
            </a:graphic>
          </wp:inline>
        </w:drawing>
      </w:r>
    </w:p>
    <w:p w:rsidR="00B07680" w:rsidRPr="00F75CE3" w:rsidRDefault="00B07680" w:rsidP="00B07680">
      <w:pPr>
        <w:spacing w:before="100" w:beforeAutospacing="1" w:after="30" w:line="360" w:lineRule="auto"/>
        <w:jc w:val="center"/>
        <w:outlineLvl w:val="1"/>
        <w:rPr>
          <w:rFonts w:asciiTheme="majorBidi" w:hAnsiTheme="majorBidi" w:cstheme="majorBidi"/>
          <w:b/>
          <w:bCs/>
          <w:sz w:val="24"/>
          <w:szCs w:val="24"/>
        </w:rPr>
      </w:pPr>
      <w:r w:rsidRPr="00F75CE3">
        <w:rPr>
          <w:rFonts w:asciiTheme="majorBidi" w:hAnsiTheme="majorBidi" w:cstheme="majorBidi"/>
          <w:b/>
          <w:bCs/>
          <w:sz w:val="24"/>
          <w:szCs w:val="24"/>
        </w:rPr>
        <w:t>Figure </w:t>
      </w:r>
      <w:r>
        <w:rPr>
          <w:rFonts w:asciiTheme="majorBidi" w:hAnsiTheme="majorBidi" w:cstheme="majorBidi"/>
          <w:b/>
          <w:bCs/>
          <w:sz w:val="24"/>
          <w:szCs w:val="24"/>
        </w:rPr>
        <w:t xml:space="preserve">31 </w:t>
      </w:r>
      <w:r w:rsidRPr="00F75CE3">
        <w:rPr>
          <w:rFonts w:asciiTheme="majorBidi" w:hAnsiTheme="majorBidi" w:cstheme="majorBidi"/>
          <w:b/>
          <w:bCs/>
          <w:sz w:val="24"/>
          <w:szCs w:val="24"/>
        </w:rPr>
        <w:t>: Mécanisme d’action du Calcium (Ca++)</w:t>
      </w:r>
    </w:p>
    <w:p w:rsidR="00B07680" w:rsidRPr="00F75CE3" w:rsidRDefault="00B07680" w:rsidP="00B07680">
      <w:pPr>
        <w:spacing w:before="100" w:beforeAutospacing="1" w:after="30" w:line="360" w:lineRule="auto"/>
        <w:jc w:val="center"/>
        <w:outlineLvl w:val="1"/>
        <w:rPr>
          <w:rFonts w:asciiTheme="majorBidi" w:hAnsiTheme="majorBidi" w:cstheme="majorBidi"/>
          <w:b/>
          <w:bCs/>
          <w:sz w:val="24"/>
          <w:szCs w:val="24"/>
        </w:rPr>
      </w:pPr>
    </w:p>
    <w:p w:rsidR="00B07680" w:rsidRDefault="00B07680" w:rsidP="00B07680"/>
    <w:p w:rsidR="00506C61" w:rsidRDefault="00B07680"/>
    <w:sectPr w:rsidR="00506C61" w:rsidSect="00494CF1">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pgNumType w:start="1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1" w:rsidRDefault="00B0768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285906"/>
      <w:docPartObj>
        <w:docPartGallery w:val="Page Numbers (Bottom of Page)"/>
        <w:docPartUnique/>
      </w:docPartObj>
    </w:sdtPr>
    <w:sdtEndPr/>
    <w:sdtContent>
      <w:p w:rsidR="00494CF1" w:rsidRDefault="00B07680">
        <w:pPr>
          <w:pStyle w:val="Pieddepage"/>
          <w:jc w:val="center"/>
        </w:pPr>
        <w:r>
          <w:fldChar w:fldCharType="begin"/>
        </w:r>
        <w:r>
          <w:instrText>PAGE   \* MERGEFORMAT</w:instrText>
        </w:r>
        <w:r>
          <w:fldChar w:fldCharType="separate"/>
        </w:r>
        <w:r>
          <w:rPr>
            <w:noProof/>
          </w:rPr>
          <w:t>17</w:t>
        </w:r>
        <w:r>
          <w:fldChar w:fldCharType="end"/>
        </w:r>
      </w:p>
    </w:sdtContent>
  </w:sdt>
  <w:p w:rsidR="00E65CC4" w:rsidRDefault="00B0768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1" w:rsidRDefault="00B07680">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1" w:rsidRDefault="00B0768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7631"/>
      <w:docPartObj>
        <w:docPartGallery w:val="Watermarks"/>
        <w:docPartUnique/>
      </w:docPartObj>
    </w:sdtPr>
    <w:sdtEndPr/>
    <w:sdtContent>
      <w:p w:rsidR="007D54B1" w:rsidRDefault="00B07680">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2706"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Dr. Alem.K"/>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1" w:rsidRDefault="00B076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85E49"/>
    <w:multiLevelType w:val="multilevel"/>
    <w:tmpl w:val="C9A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501F0"/>
    <w:multiLevelType w:val="multilevel"/>
    <w:tmpl w:val="A8066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06F17"/>
    <w:multiLevelType w:val="hybridMultilevel"/>
    <w:tmpl w:val="2D00A770"/>
    <w:lvl w:ilvl="0" w:tplc="A8C4F35C">
      <w:numFmt w:val="bullet"/>
      <w:lvlText w:val=""/>
      <w:lvlJc w:val="left"/>
      <w:pPr>
        <w:ind w:left="1080" w:hanging="360"/>
      </w:pPr>
      <w:rPr>
        <w:rFonts w:ascii="Wingdings" w:eastAsia="Calibri"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B107C7A"/>
    <w:multiLevelType w:val="hybridMultilevel"/>
    <w:tmpl w:val="7C868A84"/>
    <w:lvl w:ilvl="0" w:tplc="61BE2E4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B7097E"/>
    <w:multiLevelType w:val="multilevel"/>
    <w:tmpl w:val="5F583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80"/>
    <w:rsid w:val="001A5868"/>
    <w:rsid w:val="00863ACD"/>
    <w:rsid w:val="00B07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CF7943-314A-4079-8467-9FDF2B65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68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7680"/>
    <w:pPr>
      <w:ind w:left="720"/>
      <w:contextualSpacing/>
    </w:pPr>
  </w:style>
  <w:style w:type="character" w:styleId="Lienhypertexte">
    <w:name w:val="Hyperlink"/>
    <w:basedOn w:val="Policepardfaut"/>
    <w:uiPriority w:val="99"/>
    <w:unhideWhenUsed/>
    <w:rsid w:val="00B07680"/>
    <w:rPr>
      <w:color w:val="0000FF"/>
      <w:u w:val="single"/>
    </w:rPr>
  </w:style>
  <w:style w:type="paragraph" w:styleId="NormalWeb">
    <w:name w:val="Normal (Web)"/>
    <w:basedOn w:val="Normal"/>
    <w:link w:val="NormalWebCar"/>
    <w:uiPriority w:val="99"/>
    <w:unhideWhenUsed/>
    <w:rsid w:val="00B07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basedOn w:val="Policepardfaut"/>
    <w:link w:val="NormalWeb"/>
    <w:uiPriority w:val="99"/>
    <w:rsid w:val="00B07680"/>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07680"/>
    <w:rPr>
      <w:i/>
      <w:iCs/>
    </w:rPr>
  </w:style>
  <w:style w:type="paragraph" w:styleId="En-tte">
    <w:name w:val="header"/>
    <w:basedOn w:val="Normal"/>
    <w:link w:val="En-tteCar"/>
    <w:uiPriority w:val="99"/>
    <w:unhideWhenUsed/>
    <w:rsid w:val="00B07680"/>
    <w:pPr>
      <w:tabs>
        <w:tab w:val="center" w:pos="4536"/>
        <w:tab w:val="right" w:pos="9072"/>
      </w:tabs>
      <w:spacing w:after="0" w:line="240" w:lineRule="auto"/>
    </w:pPr>
  </w:style>
  <w:style w:type="character" w:customStyle="1" w:styleId="En-tteCar">
    <w:name w:val="En-tête Car"/>
    <w:basedOn w:val="Policepardfaut"/>
    <w:link w:val="En-tte"/>
    <w:uiPriority w:val="99"/>
    <w:rsid w:val="00B07680"/>
    <w:rPr>
      <w:rFonts w:eastAsiaTheme="minorEastAsia"/>
      <w:lang w:eastAsia="fr-FR"/>
    </w:rPr>
  </w:style>
  <w:style w:type="paragraph" w:styleId="Pieddepage">
    <w:name w:val="footer"/>
    <w:basedOn w:val="Normal"/>
    <w:link w:val="PieddepageCar"/>
    <w:uiPriority w:val="99"/>
    <w:unhideWhenUsed/>
    <w:rsid w:val="00B07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680"/>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fr.wikipedia.org/wiki/Canal_ionique" TargetMode="External"/><Relationship Id="rId26" Type="http://schemas.openxmlformats.org/officeDocument/2006/relationships/hyperlink" Target="http://www.universalis.fr/encyclopedie/muscles/" TargetMode="External"/><Relationship Id="rId39" Type="http://schemas.openxmlformats.org/officeDocument/2006/relationships/hyperlink" Target="http://fr.wikipedia.org/wiki/Membrane_cellulaire" TargetMode="External"/><Relationship Id="rId21" Type="http://schemas.openxmlformats.org/officeDocument/2006/relationships/hyperlink" Target="http://www.aquaportail.com/definition-11030-recepteur.html" TargetMode="External"/><Relationship Id="rId34" Type="http://schemas.openxmlformats.org/officeDocument/2006/relationships/hyperlink" Target="http://fr.wikipedia.org/wiki/Messager_secondaire" TargetMode="External"/><Relationship Id="rId42" Type="http://schemas.openxmlformats.org/officeDocument/2006/relationships/hyperlink" Target="http://fr.wikipedia.org/wiki/Cellule_(biologie)" TargetMode="External"/><Relationship Id="rId47" Type="http://schemas.openxmlformats.org/officeDocument/2006/relationships/hyperlink" Target="http://fr.wikipedia.org/wiki/R%C3%A9ticulum_endoplasmique" TargetMode="External"/><Relationship Id="rId50" Type="http://schemas.openxmlformats.org/officeDocument/2006/relationships/image" Target="media/image8.png"/><Relationship Id="rId55" Type="http://schemas.openxmlformats.org/officeDocument/2006/relationships/footer" Target="footer2.xml"/><Relationship Id="rId7" Type="http://schemas.openxmlformats.org/officeDocument/2006/relationships/hyperlink" Target="http://translate.googleusercontent.com/translate_c?hl=fr&amp;langpair=en%7Cfr&amp;u=http://en.wikipedia.org/wiki/Homeostasis&amp;rurl=translate.google.com&amp;usg=ALkJrhjkJdKMTPfV5xyr2yuXSONsLULB2w" TargetMode="External"/><Relationship Id="rId2" Type="http://schemas.openxmlformats.org/officeDocument/2006/relationships/styles" Target="styles.xml"/><Relationship Id="rId16" Type="http://schemas.openxmlformats.org/officeDocument/2006/relationships/hyperlink" Target="http://fr.wikipedia.org/wiki/Prot%C3%A9ine_kinase_G" TargetMode="External"/><Relationship Id="rId29" Type="http://schemas.openxmlformats.org/officeDocument/2006/relationships/hyperlink" Target="http://fr.wikipedia.org/wiki/R%C3%A9sidu_(biochimie)" TargetMode="External"/><Relationship Id="rId11" Type="http://schemas.openxmlformats.org/officeDocument/2006/relationships/hyperlink" Target="http://www.med.univ-montp1.fr/enseignement/cycle_1/PCEM2/mod-integres/MI6_regulation_hormonale_chronobiologie/Ressources_locale/bio-cell/biocell_cours3-4.htm" TargetMode="External"/><Relationship Id="rId24" Type="http://schemas.openxmlformats.org/officeDocument/2006/relationships/hyperlink" Target="http://www.aquaportail.com/definition-8716-kinase.html" TargetMode="External"/><Relationship Id="rId32" Type="http://schemas.openxmlformats.org/officeDocument/2006/relationships/hyperlink" Target="http://fr.wikipedia.org/wiki/Glyc%C3%A9rol" TargetMode="External"/><Relationship Id="rId37" Type="http://schemas.openxmlformats.org/officeDocument/2006/relationships/hyperlink" Target="http://fr.wikipedia.org/wiki/Phosphatidylinositol-4,5-diphosphate" TargetMode="External"/><Relationship Id="rId40" Type="http://schemas.openxmlformats.org/officeDocument/2006/relationships/hyperlink" Target="http://fr.wikipedia.org/wiki/Inositol_triphosphate" TargetMode="External"/><Relationship Id="rId45" Type="http://schemas.openxmlformats.org/officeDocument/2006/relationships/hyperlink" Target="http://fr.wikipedia.org/wiki/Cation"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hyperlink" Target="http://translate.googleusercontent.com/translate_c?hl=fr&amp;langpair=en%7Cfr&amp;u=http://en.wikipedia.org/wiki/Gene_expression&amp;rurl=translate.google.com&amp;usg=ALkJrhiddk7SGVCF0SX49FZ3BxBBMk5p5A" TargetMode="External"/><Relationship Id="rId19" Type="http://schemas.openxmlformats.org/officeDocument/2006/relationships/hyperlink" Target="http://www.aquaportail.com/definition-1309-photorecepteur.html"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hyperlink" Target="http://www.aquaportail.com/definition-8958-second-messager.html" TargetMode="External"/><Relationship Id="rId27" Type="http://schemas.openxmlformats.org/officeDocument/2006/relationships/image" Target="media/image6.png"/><Relationship Id="rId30" Type="http://schemas.openxmlformats.org/officeDocument/2006/relationships/hyperlink" Target="http://fr.wikipedia.org/wiki/Acide_gras" TargetMode="External"/><Relationship Id="rId35" Type="http://schemas.openxmlformats.org/officeDocument/2006/relationships/hyperlink" Target="http://fr.wikipedia.org/wiki/Signalisation_lipidique" TargetMode="External"/><Relationship Id="rId43" Type="http://schemas.openxmlformats.org/officeDocument/2006/relationships/hyperlink" Target="http://fr.wikipedia.org/wiki/Membrane_plasmique" TargetMode="External"/><Relationship Id="rId48" Type="http://schemas.openxmlformats.org/officeDocument/2006/relationships/hyperlink" Target="http://fr.wikipedia.org/w/index.php?title=Prot%C3%A9ine_kinase_C&amp;action=edit&amp;redlink=1" TargetMode="External"/><Relationship Id="rId56" Type="http://schemas.openxmlformats.org/officeDocument/2006/relationships/header" Target="header3.xml"/><Relationship Id="rId8" Type="http://schemas.openxmlformats.org/officeDocument/2006/relationships/hyperlink" Target="http://translate.googleusercontent.com/translate_c?hl=fr&amp;langpair=en%7Cfr&amp;u=http://en.wikipedia.org/wiki/Metabolism&amp;rurl=translate.google.com&amp;usg=ALkJrhhhFKkihP-Vf4hzyf1lc8UDZsqSCA" TargetMode="External"/><Relationship Id="rId51"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fr.wikipedia.org/wiki/Phosphodiest%C3%A9rase" TargetMode="External"/><Relationship Id="rId25" Type="http://schemas.openxmlformats.org/officeDocument/2006/relationships/hyperlink" Target="http://www.aquaportail.com/definition-2480-proteine.html" TargetMode="External"/><Relationship Id="rId33" Type="http://schemas.openxmlformats.org/officeDocument/2006/relationships/hyperlink" Target="http://fr.wikipedia.org/wiki/Ester" TargetMode="External"/><Relationship Id="rId38" Type="http://schemas.openxmlformats.org/officeDocument/2006/relationships/hyperlink" Target="http://fr.wikipedia.org/wiki/Phospholipase_C" TargetMode="External"/><Relationship Id="rId46" Type="http://schemas.openxmlformats.org/officeDocument/2006/relationships/hyperlink" Target="http://fr.wikipedia.org/wiki/Calcium" TargetMode="External"/><Relationship Id="rId59" Type="http://schemas.openxmlformats.org/officeDocument/2006/relationships/theme" Target="theme/theme1.xml"/><Relationship Id="rId20" Type="http://schemas.openxmlformats.org/officeDocument/2006/relationships/hyperlink" Target="http://www.aquaportail.com/definition-10458-activation.html" TargetMode="External"/><Relationship Id="rId41" Type="http://schemas.openxmlformats.org/officeDocument/2006/relationships/hyperlink" Target="http://fr.wikipedia.org/wiki/Cytosol"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translate.googleusercontent.com/translate_c?hl=fr&amp;langpair=en%7Cfr&amp;u=http://en.wikipedia.org/wiki/Gene&amp;rurl=translate.google.com&amp;usg=ALkJrhg-siOsvci2EyU5EiQj8Gxk73s08w" TargetMode="External"/><Relationship Id="rId15" Type="http://schemas.openxmlformats.org/officeDocument/2006/relationships/hyperlink" Target="http://fr.wikipedia.org/wiki/Phosphodiest%C3%A9rase" TargetMode="External"/><Relationship Id="rId23" Type="http://schemas.openxmlformats.org/officeDocument/2006/relationships/hyperlink" Target="http://www.aquaportail.com/definition-2480-proteine.html" TargetMode="External"/><Relationship Id="rId28" Type="http://schemas.openxmlformats.org/officeDocument/2006/relationships/hyperlink" Target="http://fr.wikipedia.org/wiki/Glyc%C3%A9ride" TargetMode="External"/><Relationship Id="rId36" Type="http://schemas.openxmlformats.org/officeDocument/2006/relationships/hyperlink" Target="http://fr.wikipedia.org/wiki/Hydrolyse" TargetMode="External"/><Relationship Id="rId49" Type="http://schemas.openxmlformats.org/officeDocument/2006/relationships/image" Target="media/image7.jpeg"/><Relationship Id="rId57" Type="http://schemas.openxmlformats.org/officeDocument/2006/relationships/footer" Target="footer3.xml"/><Relationship Id="rId10" Type="http://schemas.openxmlformats.org/officeDocument/2006/relationships/image" Target="media/image2.png"/><Relationship Id="rId31" Type="http://schemas.openxmlformats.org/officeDocument/2006/relationships/hyperlink" Target="http://fr.wikipedia.org/wiki/Liaison_covalente" TargetMode="External"/><Relationship Id="rId44" Type="http://schemas.openxmlformats.org/officeDocument/2006/relationships/hyperlink" Target="http://fr.wikipedia.org/wiki/Aliphatique" TargetMode="External"/><Relationship Id="rId5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3044</Words>
  <Characters>16746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2020-04-01T13:37:00Z</dcterms:created>
  <dcterms:modified xsi:type="dcterms:W3CDTF">2020-04-01T13:39:00Z</dcterms:modified>
</cp:coreProperties>
</file>