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9" w:rsidRPr="00CD63A9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CD63A9">
        <w:rPr>
          <w:rFonts w:ascii="Tahoma" w:hAnsi="Tahoma" w:cs="Tahoma"/>
          <w:b/>
          <w:bCs/>
          <w:sz w:val="28"/>
          <w:szCs w:val="28"/>
        </w:rPr>
        <w:t>Les bio</w:t>
      </w:r>
      <w:r>
        <w:rPr>
          <w:rFonts w:ascii="Tahoma" w:hAnsi="Tahoma" w:cs="Tahoma"/>
          <w:b/>
          <w:bCs/>
          <w:sz w:val="28"/>
          <w:szCs w:val="28"/>
        </w:rPr>
        <w:t>-indicateurs d’accumulation</w:t>
      </w:r>
      <w:r w:rsidRPr="00CD63A9">
        <w:rPr>
          <w:rFonts w:ascii="Tahoma" w:hAnsi="Tahoma" w:cs="Tahoma"/>
          <w:b/>
          <w:bCs/>
          <w:sz w:val="28"/>
          <w:szCs w:val="28"/>
        </w:rPr>
        <w:t>s</w:t>
      </w:r>
    </w:p>
    <w:p w:rsidR="00D11149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existe plusieurs concentrateur biologiques capable d’accumuler un type de polluant (ou plusieurs types) dans des tissues spécifiques sans symptômes de toxicité (sans altération biochimiques ou physiologiques significative).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5F25F3">
        <w:rPr>
          <w:rFonts w:ascii="Tahoma" w:hAnsi="Tahoma" w:cs="Tahoma"/>
          <w:sz w:val="22"/>
          <w:szCs w:val="22"/>
          <w:u w:val="single"/>
        </w:rPr>
        <w:t>Quelque</w:t>
      </w:r>
      <w:r>
        <w:rPr>
          <w:rFonts w:ascii="Tahoma" w:hAnsi="Tahoma" w:cs="Tahoma"/>
          <w:sz w:val="22"/>
          <w:szCs w:val="22"/>
          <w:u w:val="single"/>
        </w:rPr>
        <w:t>s</w:t>
      </w:r>
      <w:r w:rsidRPr="007E0F8A">
        <w:rPr>
          <w:rFonts w:ascii="Tahoma" w:hAnsi="Tahoma" w:cs="Tahoma"/>
          <w:sz w:val="22"/>
          <w:szCs w:val="22"/>
          <w:u w:val="single"/>
        </w:rPr>
        <w:t xml:space="preserve"> espèce</w:t>
      </w:r>
      <w:r>
        <w:rPr>
          <w:rFonts w:ascii="Tahoma" w:hAnsi="Tahoma" w:cs="Tahoma"/>
          <w:sz w:val="22"/>
          <w:szCs w:val="22"/>
        </w:rPr>
        <w:t xml:space="preserve"> accumulatrice sont capable de détoxiquer (neutraliser) la substance toxique. 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E0209F">
        <w:rPr>
          <w:rFonts w:ascii="Tahoma" w:hAnsi="Tahoma" w:cs="Tahoma"/>
          <w:b/>
          <w:bCs/>
          <w:sz w:val="22"/>
          <w:szCs w:val="22"/>
        </w:rPr>
        <w:t xml:space="preserve">• Les </w:t>
      </w:r>
      <w:r w:rsidRPr="00A47FF4">
        <w:rPr>
          <w:rFonts w:ascii="Tahoma" w:hAnsi="Tahoma" w:cs="Tahoma"/>
          <w:b/>
          <w:bCs/>
          <w:sz w:val="22"/>
          <w:szCs w:val="22"/>
        </w:rPr>
        <w:t xml:space="preserve">Phytoplancton : </w:t>
      </w:r>
      <w:r w:rsidRPr="00A47FF4">
        <w:rPr>
          <w:rFonts w:ascii="Tahoma" w:hAnsi="Tahoma" w:cs="Tahoma"/>
          <w:sz w:val="22"/>
          <w:szCs w:val="22"/>
        </w:rPr>
        <w:t xml:space="preserve">capacité élevée d’accumuler des composés </w:t>
      </w:r>
      <w:proofErr w:type="spellStart"/>
      <w:r w:rsidRPr="00A47FF4">
        <w:rPr>
          <w:rFonts w:ascii="Tahoma" w:hAnsi="Tahoma" w:cs="Tahoma"/>
          <w:sz w:val="22"/>
          <w:szCs w:val="22"/>
        </w:rPr>
        <w:t>organohalogénés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. </w:t>
      </w:r>
    </w:p>
    <w:p w:rsidR="00D11149" w:rsidRPr="00A47FF4" w:rsidRDefault="00D11149" w:rsidP="00D11149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Concentration dans le phytoplancton de l’Atlantique N.</w:t>
      </w:r>
    </w:p>
    <w:p w:rsidR="00D11149" w:rsidRPr="00A47FF4" w:rsidRDefault="00D11149" w:rsidP="00D11149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[PCB</w:t>
      </w:r>
      <w:proofErr w:type="gramStart"/>
      <w:r w:rsidRPr="00A47FF4">
        <w:rPr>
          <w:rFonts w:ascii="Tahoma" w:hAnsi="Tahoma" w:cs="Tahoma"/>
          <w:sz w:val="22"/>
          <w:szCs w:val="22"/>
        </w:rPr>
        <w:t>]eau</w:t>
      </w:r>
      <w:proofErr w:type="gramEnd"/>
      <w:r w:rsidRPr="00A47FF4">
        <w:rPr>
          <w:rFonts w:ascii="Tahoma" w:hAnsi="Tahoma" w:cs="Tahoma"/>
          <w:sz w:val="22"/>
          <w:szCs w:val="22"/>
        </w:rPr>
        <w:t xml:space="preserve"> = 0,1 </w:t>
      </w:r>
      <w:proofErr w:type="spellStart"/>
      <w:r w:rsidRPr="00A47FF4">
        <w:rPr>
          <w:rFonts w:ascii="Tahoma" w:hAnsi="Tahoma" w:cs="Tahoma"/>
          <w:sz w:val="22"/>
          <w:szCs w:val="22"/>
        </w:rPr>
        <w:t>ppb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et [PCB]phytoplancton = 200 </w:t>
      </w:r>
      <w:proofErr w:type="spellStart"/>
      <w:r w:rsidRPr="00A47FF4">
        <w:rPr>
          <w:rFonts w:ascii="Tahoma" w:hAnsi="Tahoma" w:cs="Tahoma"/>
          <w:sz w:val="22"/>
          <w:szCs w:val="22"/>
        </w:rPr>
        <w:t>ppb</w:t>
      </w:r>
      <w:proofErr w:type="spellEnd"/>
      <w:r w:rsidRPr="00A47FF4">
        <w:rPr>
          <w:rFonts w:ascii="Tahoma" w:hAnsi="Tahoma" w:cs="Tahoma"/>
          <w:sz w:val="22"/>
          <w:szCs w:val="22"/>
        </w:rPr>
        <w:t>.</w:t>
      </w:r>
    </w:p>
    <w:p w:rsidR="00D11149" w:rsidRDefault="00D11149" w:rsidP="00D111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En laboratoire : </w:t>
      </w:r>
      <w:proofErr w:type="spellStart"/>
      <w:r w:rsidRPr="00CC462D">
        <w:rPr>
          <w:rFonts w:ascii="Tahoma" w:hAnsi="Tahoma" w:cs="Tahoma"/>
          <w:i/>
          <w:iCs/>
          <w:sz w:val="22"/>
          <w:szCs w:val="22"/>
        </w:rPr>
        <w:t>Dunaliella</w:t>
      </w:r>
      <w:proofErr w:type="spellEnd"/>
      <w:r w:rsidRPr="00CC462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CC462D">
        <w:rPr>
          <w:rFonts w:ascii="Tahoma" w:hAnsi="Tahoma" w:cs="Tahoma"/>
          <w:i/>
          <w:iCs/>
          <w:sz w:val="22"/>
          <w:szCs w:val="22"/>
        </w:rPr>
        <w:t>sp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. : </w:t>
      </w:r>
      <w:proofErr w:type="spellStart"/>
      <w:r w:rsidRPr="00A47FF4">
        <w:rPr>
          <w:rFonts w:ascii="Tahoma" w:hAnsi="Tahoma" w:cs="Tahoma"/>
          <w:sz w:val="22"/>
          <w:szCs w:val="22"/>
        </w:rPr>
        <w:t>FcPCB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= 480.000.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D11149" w:rsidRDefault="00D11149" w:rsidP="00D11149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PCB</w:t>
      </w:r>
      <w:r>
        <w:rPr>
          <w:rFonts w:ascii="Tahoma" w:hAnsi="Tahoma" w:cs="Tahoma"/>
          <w:sz w:val="22"/>
          <w:szCs w:val="22"/>
        </w:rPr>
        <w:t xml:space="preserve">= </w:t>
      </w:r>
      <w:proofErr w:type="spellStart"/>
      <w:r>
        <w:rPr>
          <w:rFonts w:ascii="Tahoma" w:hAnsi="Tahoma" w:cs="Tahoma"/>
          <w:sz w:val="22"/>
          <w:szCs w:val="22"/>
        </w:rPr>
        <w:t>Polychlorobiphéniles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</w:rPr>
      </w:pPr>
    </w:p>
    <w:p w:rsidR="00D11149" w:rsidRPr="000328CD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E0209F">
        <w:rPr>
          <w:rFonts w:ascii="Tahoma" w:hAnsi="Tahoma" w:cs="Tahoma"/>
          <w:b/>
          <w:bCs/>
          <w:sz w:val="22"/>
          <w:szCs w:val="22"/>
        </w:rPr>
        <w:t>• Les Vers</w:t>
      </w:r>
      <w:r w:rsidRPr="003C19F0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(</w:t>
      </w:r>
      <w:r w:rsidRPr="003C19F0">
        <w:rPr>
          <w:rFonts w:ascii="Tahoma" w:hAnsi="Tahoma" w:cs="Tahoma"/>
          <w:b/>
          <w:bCs/>
          <w:sz w:val="22"/>
          <w:szCs w:val="22"/>
        </w:rPr>
        <w:t>Oligochètes</w:t>
      </w:r>
      <w:r>
        <w:rPr>
          <w:rFonts w:ascii="Tahoma" w:hAnsi="Tahoma" w:cs="Tahoma"/>
          <w:b/>
          <w:bCs/>
          <w:sz w:val="22"/>
          <w:szCs w:val="22"/>
        </w:rPr>
        <w:t>)</w:t>
      </w:r>
      <w:r w:rsidRPr="003C19F0">
        <w:rPr>
          <w:rFonts w:ascii="Tahoma" w:hAnsi="Tahoma" w:cs="Tahoma"/>
          <w:b/>
          <w:bCs/>
          <w:sz w:val="22"/>
          <w:szCs w:val="22"/>
        </w:rPr>
        <w:t>:</w:t>
      </w:r>
      <w:r w:rsidRPr="00A47FF4">
        <w:rPr>
          <w:rFonts w:ascii="Tahoma" w:hAnsi="Tahoma" w:cs="Tahoma"/>
          <w:sz w:val="22"/>
          <w:szCs w:val="22"/>
        </w:rPr>
        <w:t xml:space="preserve"> capacité élevée d’accumuler des contaminants</w:t>
      </w:r>
    </w:p>
    <w:p w:rsidR="00D11149" w:rsidRDefault="00D11149" w:rsidP="00D11149">
      <w:pPr>
        <w:autoSpaceDE w:val="0"/>
        <w:autoSpaceDN w:val="0"/>
        <w:adjustRightInd w:val="0"/>
        <w:ind w:left="708" w:firstLine="708"/>
        <w:jc w:val="both"/>
        <w:rPr>
          <w:rFonts w:ascii="Tahoma" w:hAnsi="Tahoma" w:cs="Tahoma"/>
          <w:sz w:val="22"/>
          <w:szCs w:val="22"/>
        </w:rPr>
      </w:pPr>
      <w:r w:rsidRPr="0063509E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63509E">
        <w:rPr>
          <w:rFonts w:ascii="Tahoma" w:hAnsi="Tahoma" w:cs="Tahoma"/>
          <w:sz w:val="22"/>
          <w:szCs w:val="22"/>
        </w:rPr>
        <w:t>persistants</w:t>
      </w:r>
      <w:proofErr w:type="gramEnd"/>
      <w:r w:rsidRPr="0063509E">
        <w:rPr>
          <w:rFonts w:ascii="Tahoma" w:hAnsi="Tahoma" w:cs="Tahoma"/>
          <w:sz w:val="22"/>
          <w:szCs w:val="22"/>
        </w:rPr>
        <w:t xml:space="preserve"> tels que des insecticides organochlorés (DDT, </w:t>
      </w:r>
      <w:proofErr w:type="spellStart"/>
      <w:r w:rsidRPr="0063509E">
        <w:rPr>
          <w:rFonts w:ascii="Tahoma" w:hAnsi="Tahoma" w:cs="Tahoma"/>
          <w:sz w:val="22"/>
          <w:szCs w:val="22"/>
        </w:rPr>
        <w:t>dieldrine</w:t>
      </w:r>
      <w:proofErr w:type="spellEnd"/>
      <w:r w:rsidRPr="0063509E">
        <w:rPr>
          <w:rFonts w:ascii="Tahoma" w:hAnsi="Tahoma" w:cs="Tahoma"/>
          <w:sz w:val="22"/>
          <w:szCs w:val="22"/>
        </w:rPr>
        <w:t>).</w:t>
      </w:r>
    </w:p>
    <w:p w:rsidR="00D11149" w:rsidRPr="0063509E" w:rsidRDefault="00D11149" w:rsidP="00D11149">
      <w:pPr>
        <w:autoSpaceDE w:val="0"/>
        <w:autoSpaceDN w:val="0"/>
        <w:adjustRightInd w:val="0"/>
        <w:ind w:left="708" w:firstLine="708"/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63509E">
        <w:rPr>
          <w:rFonts w:ascii="Tahoma" w:hAnsi="Tahoma" w:cs="Tahoma"/>
          <w:b/>
          <w:bCs/>
          <w:sz w:val="22"/>
          <w:szCs w:val="22"/>
        </w:rPr>
        <w:t>• Les</w:t>
      </w:r>
      <w:r w:rsidRPr="0063509E">
        <w:rPr>
          <w:rFonts w:ascii="Tahoma" w:hAnsi="Tahoma" w:cs="Tahoma"/>
          <w:sz w:val="22"/>
          <w:szCs w:val="22"/>
        </w:rPr>
        <w:t xml:space="preserve"> </w:t>
      </w:r>
      <w:r w:rsidRPr="0063509E">
        <w:rPr>
          <w:rFonts w:ascii="Tahoma" w:hAnsi="Tahoma" w:cs="Tahoma"/>
          <w:b/>
          <w:bCs/>
          <w:sz w:val="22"/>
          <w:szCs w:val="22"/>
        </w:rPr>
        <w:t>Mollusques bivalves :</w:t>
      </w:r>
      <w:r w:rsidRPr="0063509E">
        <w:rPr>
          <w:rFonts w:ascii="Tahoma" w:hAnsi="Tahoma" w:cs="Tahoma"/>
          <w:sz w:val="22"/>
          <w:szCs w:val="22"/>
        </w:rPr>
        <w:t xml:space="preserve"> huître </w:t>
      </w:r>
      <w:proofErr w:type="spellStart"/>
      <w:r w:rsidRPr="0063509E">
        <w:rPr>
          <w:rFonts w:ascii="Tahoma" w:hAnsi="Tahoma" w:cs="Tahoma"/>
          <w:i/>
          <w:iCs/>
          <w:sz w:val="22"/>
          <w:szCs w:val="22"/>
        </w:rPr>
        <w:t>Crassostrea</w:t>
      </w:r>
      <w:proofErr w:type="spellEnd"/>
      <w:r w:rsidRPr="0063509E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63509E">
        <w:rPr>
          <w:rFonts w:ascii="Tahoma" w:hAnsi="Tahoma" w:cs="Tahoma"/>
          <w:i/>
          <w:iCs/>
          <w:sz w:val="22"/>
          <w:szCs w:val="22"/>
        </w:rPr>
        <w:t>virginica</w:t>
      </w:r>
      <w:proofErr w:type="spellEnd"/>
      <w:r w:rsidRPr="0063509E">
        <w:rPr>
          <w:rFonts w:ascii="Tahoma" w:hAnsi="Tahoma" w:cs="Tahoma"/>
          <w:sz w:val="22"/>
          <w:szCs w:val="22"/>
        </w:rPr>
        <w:t xml:space="preserve"> : </w:t>
      </w:r>
      <w:proofErr w:type="spellStart"/>
      <w:r w:rsidRPr="0063509E">
        <w:rPr>
          <w:rFonts w:ascii="Tahoma" w:hAnsi="Tahoma" w:cs="Tahoma"/>
          <w:sz w:val="22"/>
          <w:szCs w:val="22"/>
        </w:rPr>
        <w:t>FcDDT</w:t>
      </w:r>
      <w:proofErr w:type="spellEnd"/>
      <w:r w:rsidRPr="0063509E">
        <w:rPr>
          <w:rFonts w:ascii="Tahoma" w:hAnsi="Tahoma" w:cs="Tahoma"/>
          <w:sz w:val="22"/>
          <w:szCs w:val="22"/>
        </w:rPr>
        <w:t xml:space="preserve"> = 70.000.</w:t>
      </w:r>
    </w:p>
    <w:p w:rsidR="00D11149" w:rsidRPr="0063509E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Pr="0063509E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63509E">
        <w:rPr>
          <w:rFonts w:ascii="Tahoma" w:hAnsi="Tahoma" w:cs="Tahoma"/>
          <w:b/>
          <w:bCs/>
          <w:sz w:val="22"/>
          <w:szCs w:val="22"/>
        </w:rPr>
        <w:t>• Les</w:t>
      </w:r>
      <w:r w:rsidRPr="0063509E">
        <w:rPr>
          <w:rFonts w:ascii="Tahoma" w:hAnsi="Tahoma" w:cs="Tahoma"/>
          <w:sz w:val="22"/>
          <w:szCs w:val="22"/>
        </w:rPr>
        <w:t xml:space="preserve"> </w:t>
      </w:r>
      <w:r w:rsidRPr="0063509E">
        <w:rPr>
          <w:rFonts w:ascii="Tahoma" w:hAnsi="Tahoma" w:cs="Tahoma"/>
          <w:b/>
          <w:bCs/>
          <w:sz w:val="22"/>
          <w:szCs w:val="22"/>
        </w:rPr>
        <w:t>Poissons :</w:t>
      </w:r>
      <w:r w:rsidRPr="0063509E">
        <w:rPr>
          <w:rFonts w:ascii="Tahoma" w:hAnsi="Tahoma" w:cs="Tahoma"/>
          <w:sz w:val="22"/>
          <w:szCs w:val="22"/>
        </w:rPr>
        <w:t xml:space="preserve"> transfert principal par </w:t>
      </w:r>
      <w:r w:rsidRPr="0063509E">
        <w:rPr>
          <w:rFonts w:ascii="Tahoma" w:hAnsi="Tahoma" w:cs="Tahoma"/>
          <w:b/>
          <w:bCs/>
          <w:sz w:val="22"/>
          <w:szCs w:val="22"/>
        </w:rPr>
        <w:t xml:space="preserve">voie </w:t>
      </w:r>
      <w:proofErr w:type="spellStart"/>
      <w:r w:rsidRPr="0063509E">
        <w:rPr>
          <w:rFonts w:ascii="Tahoma" w:hAnsi="Tahoma" w:cs="Tahoma"/>
          <w:b/>
          <w:bCs/>
          <w:sz w:val="22"/>
          <w:szCs w:val="22"/>
        </w:rPr>
        <w:t>transtégumentaire</w:t>
      </w:r>
      <w:proofErr w:type="spellEnd"/>
      <w:r w:rsidRPr="0063509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3509E">
        <w:rPr>
          <w:rFonts w:ascii="Tahoma" w:hAnsi="Tahoma" w:cs="Tahoma"/>
          <w:sz w:val="22"/>
          <w:szCs w:val="22"/>
        </w:rPr>
        <w:t>(glandes muqueuses</w:t>
      </w:r>
    </w:p>
    <w:p w:rsidR="00D11149" w:rsidRDefault="00D11149" w:rsidP="00D11149">
      <w:pPr>
        <w:rPr>
          <w:rFonts w:ascii="Tahoma" w:hAnsi="Tahoma" w:cs="Tahoma"/>
          <w:sz w:val="22"/>
          <w:szCs w:val="22"/>
        </w:rPr>
      </w:pPr>
      <w:proofErr w:type="gramStart"/>
      <w:r w:rsidRPr="0063509E">
        <w:rPr>
          <w:rFonts w:ascii="Tahoma" w:hAnsi="Tahoma" w:cs="Tahoma"/>
          <w:sz w:val="22"/>
          <w:szCs w:val="22"/>
        </w:rPr>
        <w:t>cutanées</w:t>
      </w:r>
      <w:proofErr w:type="gramEnd"/>
      <w:r w:rsidRPr="0063509E">
        <w:rPr>
          <w:rFonts w:ascii="Tahoma" w:hAnsi="Tahoma" w:cs="Tahoma"/>
          <w:sz w:val="22"/>
          <w:szCs w:val="22"/>
        </w:rPr>
        <w:t xml:space="preserve">, transfert branchial), et par </w:t>
      </w:r>
      <w:r w:rsidRPr="0063509E">
        <w:rPr>
          <w:rFonts w:ascii="Tahoma" w:hAnsi="Tahoma" w:cs="Tahoma"/>
          <w:b/>
          <w:bCs/>
          <w:sz w:val="22"/>
          <w:szCs w:val="22"/>
        </w:rPr>
        <w:t xml:space="preserve">voie alimentaire </w:t>
      </w:r>
      <w:r w:rsidRPr="0063509E">
        <w:rPr>
          <w:rFonts w:ascii="Tahoma" w:hAnsi="Tahoma" w:cs="Tahoma"/>
          <w:bCs/>
          <w:sz w:val="22"/>
          <w:szCs w:val="22"/>
        </w:rPr>
        <w:t>(</w:t>
      </w:r>
      <w:r w:rsidRPr="0063509E">
        <w:rPr>
          <w:rFonts w:ascii="Tahoma" w:hAnsi="Tahoma" w:cs="Tahoma"/>
          <w:sz w:val="22"/>
          <w:szCs w:val="22"/>
        </w:rPr>
        <w:t xml:space="preserve">vairon américain </w:t>
      </w:r>
      <w:proofErr w:type="spellStart"/>
      <w:r w:rsidRPr="0063509E">
        <w:rPr>
          <w:rFonts w:ascii="Tahoma" w:hAnsi="Tahoma" w:cs="Tahoma"/>
          <w:i/>
          <w:iCs/>
          <w:sz w:val="22"/>
          <w:szCs w:val="22"/>
        </w:rPr>
        <w:t>Pimephales</w:t>
      </w:r>
      <w:proofErr w:type="spellEnd"/>
      <w:r w:rsidRPr="0063509E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63509E">
        <w:rPr>
          <w:rFonts w:ascii="Tahoma" w:hAnsi="Tahoma" w:cs="Tahoma"/>
          <w:i/>
          <w:iCs/>
          <w:sz w:val="22"/>
          <w:szCs w:val="22"/>
        </w:rPr>
        <w:t>promelas</w:t>
      </w:r>
      <w:proofErr w:type="spellEnd"/>
      <w:r w:rsidRPr="0063509E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63509E">
        <w:rPr>
          <w:rFonts w:ascii="Tahoma" w:hAnsi="Tahoma" w:cs="Tahoma"/>
          <w:sz w:val="22"/>
          <w:szCs w:val="22"/>
        </w:rPr>
        <w:t>FcEndrine</w:t>
      </w:r>
      <w:proofErr w:type="spellEnd"/>
      <w:r w:rsidRPr="0063509E">
        <w:rPr>
          <w:rFonts w:ascii="Tahoma" w:hAnsi="Tahoma" w:cs="Tahoma"/>
          <w:sz w:val="22"/>
          <w:szCs w:val="22"/>
        </w:rPr>
        <w:t xml:space="preserve"> = 10.000).</w:t>
      </w:r>
    </w:p>
    <w:p w:rsidR="00D11149" w:rsidRPr="0063509E" w:rsidRDefault="00D11149" w:rsidP="00D11149">
      <w:pPr>
        <w:rPr>
          <w:rFonts w:ascii="Tahoma" w:hAnsi="Tahoma" w:cs="Tahoma"/>
          <w:sz w:val="22"/>
          <w:szCs w:val="22"/>
        </w:rPr>
      </w:pPr>
    </w:p>
    <w:p w:rsidR="00D11149" w:rsidRPr="0063509E" w:rsidRDefault="00D11149" w:rsidP="00D1114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3509E">
        <w:rPr>
          <w:rFonts w:ascii="Tahoma" w:hAnsi="Tahoma" w:cs="Tahoma"/>
          <w:b/>
          <w:bCs/>
          <w:sz w:val="22"/>
          <w:szCs w:val="22"/>
        </w:rPr>
        <w:t>• L’être humain :</w:t>
      </w:r>
      <w:r w:rsidRPr="0063509E">
        <w:rPr>
          <w:rFonts w:ascii="Tahoma" w:hAnsi="Tahoma" w:cs="Tahoma"/>
          <w:sz w:val="22"/>
          <w:szCs w:val="22"/>
        </w:rPr>
        <w:t xml:space="preserve"> transfert principal par </w:t>
      </w:r>
      <w:r w:rsidRPr="0063509E">
        <w:rPr>
          <w:rFonts w:ascii="Tahoma" w:hAnsi="Tahoma" w:cs="Tahoma"/>
          <w:b/>
          <w:bCs/>
          <w:sz w:val="22"/>
          <w:szCs w:val="22"/>
        </w:rPr>
        <w:t>voie digestive.</w:t>
      </w:r>
      <w:r w:rsidRPr="0063509E">
        <w:rPr>
          <w:rFonts w:ascii="Tahoma" w:hAnsi="Tahoma" w:cs="Tahoma"/>
          <w:color w:val="000000"/>
          <w:sz w:val="22"/>
          <w:szCs w:val="22"/>
        </w:rPr>
        <w:t xml:space="preserve"> La concentration du </w:t>
      </w:r>
      <w:proofErr w:type="spellStart"/>
      <w:r w:rsidRPr="0063509E">
        <w:rPr>
          <w:rFonts w:ascii="Tahoma" w:hAnsi="Tahoma" w:cs="Tahoma"/>
          <w:color w:val="000000"/>
          <w:sz w:val="22"/>
          <w:szCs w:val="22"/>
        </w:rPr>
        <w:t>MHg</w:t>
      </w:r>
      <w:proofErr w:type="spellEnd"/>
      <w:r w:rsidRPr="0063509E">
        <w:rPr>
          <w:rFonts w:ascii="Tahoma" w:hAnsi="Tahoma" w:cs="Tahoma"/>
          <w:color w:val="000000"/>
          <w:sz w:val="22"/>
          <w:szCs w:val="22"/>
        </w:rPr>
        <w:t xml:space="preserve"> était multipliée par plus de 105 chez les habitants de Minamata.</w:t>
      </w:r>
      <w:r>
        <w:rPr>
          <w:rFonts w:ascii="Tahoma" w:hAnsi="Tahoma" w:cs="Tahoma"/>
          <w:color w:val="000000"/>
          <w:sz w:val="22"/>
          <w:szCs w:val="22"/>
        </w:rPr>
        <w:t xml:space="preserve"> Dans ce cas, les symptômes d’intoxication sont apparents.</w:t>
      </w:r>
    </w:p>
    <w:p w:rsidR="00D11149" w:rsidRDefault="00D11149" w:rsidP="00D11149">
      <w:pPr>
        <w:autoSpaceDE w:val="0"/>
        <w:autoSpaceDN w:val="0"/>
        <w:adjustRightInd w:val="0"/>
        <w:ind w:left="1416"/>
        <w:jc w:val="both"/>
        <w:rPr>
          <w:rFonts w:ascii="Tahoma" w:hAnsi="Tahoma" w:cs="Tahoma"/>
          <w:sz w:val="22"/>
          <w:szCs w:val="22"/>
        </w:rPr>
      </w:pPr>
    </w:p>
    <w:p w:rsidR="00D11149" w:rsidRPr="008449E8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11149" w:rsidRPr="00A47FF4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</w:t>
      </w:r>
      <w:r w:rsidRPr="00A47FF4">
        <w:rPr>
          <w:rFonts w:ascii="Tahoma" w:hAnsi="Tahoma" w:cs="Tahoma"/>
          <w:b/>
          <w:bCs/>
          <w:sz w:val="22"/>
          <w:szCs w:val="22"/>
        </w:rPr>
        <w:t>. Caractéristiques d’un bio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A47FF4">
        <w:rPr>
          <w:rFonts w:ascii="Tahoma" w:hAnsi="Tahoma" w:cs="Tahoma"/>
          <w:b/>
          <w:bCs/>
          <w:sz w:val="22"/>
          <w:szCs w:val="22"/>
        </w:rPr>
        <w:t>indicateur idéal :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1.</w:t>
      </w:r>
      <w:r w:rsidRPr="00A47FF4">
        <w:rPr>
          <w:rFonts w:ascii="Tahoma" w:hAnsi="Tahoma" w:cs="Tahoma"/>
          <w:sz w:val="22"/>
          <w:szCs w:val="22"/>
        </w:rPr>
        <w:t xml:space="preserve"> </w:t>
      </w:r>
      <w:r w:rsidRPr="00464C19">
        <w:rPr>
          <w:rFonts w:ascii="Tahoma" w:hAnsi="Tahoma" w:cs="Tahoma"/>
          <w:sz w:val="22"/>
          <w:szCs w:val="22"/>
        </w:rPr>
        <w:t xml:space="preserve">Les espèces </w:t>
      </w:r>
      <w:proofErr w:type="spellStart"/>
      <w:r w:rsidRPr="00464C19">
        <w:rPr>
          <w:rFonts w:ascii="Tahoma" w:hAnsi="Tahoma" w:cs="Tahoma"/>
          <w:sz w:val="22"/>
          <w:szCs w:val="22"/>
        </w:rPr>
        <w:t>bioindicatrices</w:t>
      </w:r>
      <w:proofErr w:type="spellEnd"/>
      <w:r w:rsidRPr="00464C19">
        <w:rPr>
          <w:rFonts w:ascii="Tahoma" w:hAnsi="Tahoma" w:cs="Tahoma"/>
          <w:sz w:val="22"/>
          <w:szCs w:val="22"/>
        </w:rPr>
        <w:t xml:space="preserve"> devraient avoir une corrélation simple entre leur teneur en polluants et la concentration moyenne de polluants dans le biotope ou la nourriture, indépendamment de l'emplacement et des conditions environnementales.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2.</w:t>
      </w:r>
      <w:r w:rsidRPr="00A47FF4">
        <w:rPr>
          <w:rFonts w:ascii="Tahoma" w:hAnsi="Tahoma" w:cs="Tahoma"/>
          <w:sz w:val="22"/>
          <w:szCs w:val="22"/>
        </w:rPr>
        <w:t xml:space="preserve"> L’espèce devrait être capable d’accumuler le polluant sans être tuée ni même que sa reproduction en soit perturbée par le niveau maximum du polluant observés dans l’environnement. 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3.</w:t>
      </w:r>
      <w:r w:rsidRPr="00A47FF4">
        <w:rPr>
          <w:rFonts w:ascii="Tahoma" w:hAnsi="Tahoma" w:cs="Tahoma"/>
          <w:sz w:val="22"/>
          <w:szCs w:val="22"/>
        </w:rPr>
        <w:t xml:space="preserve"> L’espèce devrait être permanent afin d’être sûr que les concentrations trouvées soient bien en rapport avec la localisation géographique considérée.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4.</w:t>
      </w:r>
      <w:r w:rsidRPr="00A47FF4">
        <w:rPr>
          <w:rFonts w:ascii="Tahoma" w:hAnsi="Tahoma" w:cs="Tahoma"/>
          <w:sz w:val="22"/>
          <w:szCs w:val="22"/>
        </w:rPr>
        <w:t xml:space="preserve"> L’espèce devrait être abondante dans l’ensemble de l’aire étudiée</w:t>
      </w:r>
      <w:r>
        <w:rPr>
          <w:rFonts w:ascii="Tahoma" w:hAnsi="Tahoma" w:cs="Tahoma"/>
          <w:sz w:val="22"/>
          <w:szCs w:val="22"/>
        </w:rPr>
        <w:t>,</w:t>
      </w:r>
      <w:r w:rsidRPr="00A47FF4">
        <w:rPr>
          <w:rFonts w:ascii="Tahoma" w:hAnsi="Tahoma" w:cs="Tahoma"/>
          <w:sz w:val="22"/>
          <w:szCs w:val="22"/>
        </w:rPr>
        <w:t xml:space="preserve"> et si possible devrait avoir une distribution géographique étendue.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5.</w:t>
      </w:r>
      <w:r w:rsidRPr="00A47FF4">
        <w:rPr>
          <w:rFonts w:ascii="Tahoma" w:hAnsi="Tahoma" w:cs="Tahoma"/>
          <w:sz w:val="22"/>
          <w:szCs w:val="22"/>
        </w:rPr>
        <w:t xml:space="preserve"> Les espèces </w:t>
      </w:r>
      <w:r>
        <w:rPr>
          <w:rFonts w:ascii="Tahoma" w:hAnsi="Tahoma" w:cs="Tahoma"/>
          <w:sz w:val="22"/>
          <w:szCs w:val="22"/>
        </w:rPr>
        <w:t>avec une longue vie</w:t>
      </w:r>
      <w:r w:rsidRPr="00A47FF4">
        <w:rPr>
          <w:rFonts w:ascii="Tahoma" w:hAnsi="Tahoma" w:cs="Tahoma"/>
          <w:sz w:val="22"/>
          <w:szCs w:val="22"/>
        </w:rPr>
        <w:t xml:space="preserve"> sont préférables car elles permettent un échantillonnage sur plusieurs classes d’âges si nécessaire. Elles permettent l’exposition à un contaminant pendant de longues périodes (effets à long terme).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6.</w:t>
      </w:r>
      <w:r w:rsidRPr="00A47FF4">
        <w:rPr>
          <w:rFonts w:ascii="Tahoma" w:hAnsi="Tahoma" w:cs="Tahoma"/>
          <w:sz w:val="22"/>
          <w:szCs w:val="22"/>
        </w:rPr>
        <w:t xml:space="preserve"> L’espèce devrait être de taille suffisante pour fournir des tissus en qu</w:t>
      </w:r>
      <w:r>
        <w:rPr>
          <w:rFonts w:ascii="Tahoma" w:hAnsi="Tahoma" w:cs="Tahoma"/>
          <w:sz w:val="22"/>
          <w:szCs w:val="22"/>
        </w:rPr>
        <w:t>antité importante.</w:t>
      </w:r>
      <w:r w:rsidRPr="00A47FF4">
        <w:rPr>
          <w:rFonts w:ascii="Tahoma" w:hAnsi="Tahoma" w:cs="Tahoma"/>
          <w:sz w:val="22"/>
          <w:szCs w:val="22"/>
        </w:rPr>
        <w:t xml:space="preserve"> 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20915">
        <w:rPr>
          <w:rFonts w:ascii="Tahoma" w:hAnsi="Tahoma" w:cs="Tahoma"/>
          <w:b/>
          <w:bCs/>
          <w:sz w:val="22"/>
          <w:szCs w:val="22"/>
        </w:rPr>
        <w:t>7.</w:t>
      </w:r>
      <w:r w:rsidRPr="00A47FF4">
        <w:rPr>
          <w:rFonts w:ascii="Tahoma" w:hAnsi="Tahoma" w:cs="Tahoma"/>
          <w:sz w:val="22"/>
          <w:szCs w:val="22"/>
        </w:rPr>
        <w:t xml:space="preserve"> L’espèce devrait être facile à échantillonner et suffisamment résistante pour être </w:t>
      </w:r>
      <w:r>
        <w:rPr>
          <w:rFonts w:ascii="Tahoma" w:hAnsi="Tahoma" w:cs="Tahoma"/>
          <w:sz w:val="22"/>
          <w:szCs w:val="22"/>
        </w:rPr>
        <w:t>transport</w:t>
      </w:r>
      <w:r w:rsidRPr="00A47FF4">
        <w:rPr>
          <w:rFonts w:ascii="Tahoma" w:hAnsi="Tahoma" w:cs="Tahoma"/>
          <w:sz w:val="22"/>
          <w:szCs w:val="22"/>
        </w:rPr>
        <w:t xml:space="preserve">ée </w:t>
      </w:r>
      <w:r>
        <w:rPr>
          <w:rFonts w:ascii="Tahoma" w:hAnsi="Tahoma" w:cs="Tahoma"/>
          <w:sz w:val="22"/>
          <w:szCs w:val="22"/>
        </w:rPr>
        <w:t>au</w:t>
      </w:r>
      <w:r w:rsidRPr="00A47FF4">
        <w:rPr>
          <w:rFonts w:ascii="Tahoma" w:hAnsi="Tahoma" w:cs="Tahoma"/>
          <w:sz w:val="22"/>
          <w:szCs w:val="22"/>
        </w:rPr>
        <w:t xml:space="preserve"> laboratoire.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  <w:r w:rsidRPr="00B03174">
        <w:rPr>
          <w:rFonts w:ascii="Tahoma" w:hAnsi="Tahoma" w:cs="Tahoma"/>
          <w:sz w:val="22"/>
          <w:szCs w:val="22"/>
          <w:u w:val="single"/>
        </w:rPr>
        <w:t>En réalité, aucune espèce ne peut répondre à la totalité de ces critères.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</w:p>
    <w:p w:rsidR="00D11149" w:rsidRPr="00B0317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</w:p>
    <w:p w:rsidR="00D11149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2</w:t>
      </w:r>
      <w:r w:rsidRPr="00A47FF4">
        <w:rPr>
          <w:rFonts w:ascii="Tahoma" w:hAnsi="Tahoma" w:cs="Tahoma"/>
          <w:b/>
          <w:bCs/>
          <w:sz w:val="22"/>
          <w:szCs w:val="22"/>
        </w:rPr>
        <w:t>. Facteurs influençant la fiabilité d</w:t>
      </w:r>
      <w:r>
        <w:rPr>
          <w:rFonts w:ascii="Tahoma" w:hAnsi="Tahoma" w:cs="Tahoma"/>
          <w:b/>
          <w:bCs/>
          <w:sz w:val="22"/>
          <w:szCs w:val="22"/>
        </w:rPr>
        <w:t xml:space="preserve">’un </w:t>
      </w:r>
      <w:r w:rsidRPr="00A47FF4">
        <w:rPr>
          <w:rFonts w:ascii="Tahoma" w:hAnsi="Tahoma" w:cs="Tahoma"/>
          <w:b/>
          <w:bCs/>
          <w:sz w:val="22"/>
          <w:szCs w:val="22"/>
        </w:rPr>
        <w:t>bio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A47FF4">
        <w:rPr>
          <w:rFonts w:ascii="Tahoma" w:hAnsi="Tahoma" w:cs="Tahoma"/>
          <w:b/>
          <w:bCs/>
          <w:sz w:val="22"/>
          <w:szCs w:val="22"/>
        </w:rPr>
        <w:t>indicateurs d’accumulation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b/>
          <w:bCs/>
          <w:sz w:val="22"/>
          <w:szCs w:val="22"/>
        </w:rPr>
        <w:t>a. Les taux d’accumulation et d’excrétion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Importance du rapport entre taux d’accumulation </w:t>
      </w:r>
      <w:r w:rsidRPr="005C4AD7">
        <w:rPr>
          <w:rFonts w:ascii="Tahoma" w:hAnsi="Tahoma" w:cs="Tahoma"/>
          <w:b/>
          <w:bCs/>
          <w:sz w:val="22"/>
          <w:szCs w:val="22"/>
        </w:rPr>
        <w:t>(Ta)</w:t>
      </w:r>
      <w:r w:rsidRPr="00A47FF4">
        <w:rPr>
          <w:rFonts w:ascii="Tahoma" w:hAnsi="Tahoma" w:cs="Tahoma"/>
          <w:sz w:val="22"/>
          <w:szCs w:val="22"/>
        </w:rPr>
        <w:t xml:space="preserve"> et taux d’excrétion </w:t>
      </w:r>
      <w:r w:rsidRPr="005C4AD7">
        <w:rPr>
          <w:rFonts w:ascii="Tahoma" w:hAnsi="Tahoma" w:cs="Tahoma"/>
          <w:b/>
          <w:bCs/>
          <w:sz w:val="22"/>
          <w:szCs w:val="22"/>
        </w:rPr>
        <w:t>(Te)</w:t>
      </w:r>
      <w:r w:rsidRPr="00A47FF4"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Si </w:t>
      </w:r>
      <w:r w:rsidRPr="005C4AD7">
        <w:rPr>
          <w:rFonts w:ascii="Tahoma" w:hAnsi="Tahoma" w:cs="Tahoma"/>
          <w:b/>
          <w:bCs/>
          <w:sz w:val="22"/>
          <w:szCs w:val="22"/>
        </w:rPr>
        <w:t>Ta &gt;&gt; Te</w:t>
      </w:r>
      <w:r w:rsidRPr="00A47FF4">
        <w:rPr>
          <w:rFonts w:ascii="Tahoma" w:hAnsi="Tahoma" w:cs="Tahoma"/>
          <w:sz w:val="22"/>
          <w:szCs w:val="22"/>
        </w:rPr>
        <w:t xml:space="preserve"> : </w:t>
      </w:r>
      <w:r w:rsidRPr="00A47FF4">
        <w:rPr>
          <w:rFonts w:ascii="Tahoma" w:eastAsia="SymbolMT" w:hAnsi="Tahoma" w:cs="Tahoma"/>
          <w:sz w:val="22"/>
          <w:szCs w:val="22"/>
        </w:rPr>
        <w:t>[</w:t>
      </w:r>
      <w:r w:rsidRPr="00A47FF4">
        <w:rPr>
          <w:rFonts w:ascii="Tahoma" w:hAnsi="Tahoma" w:cs="Tahoma"/>
          <w:sz w:val="22"/>
          <w:szCs w:val="22"/>
        </w:rPr>
        <w:t>polluant</w:t>
      </w:r>
      <w:proofErr w:type="gramStart"/>
      <w:r w:rsidRPr="00A47FF4">
        <w:rPr>
          <w:rFonts w:ascii="Tahoma" w:eastAsia="SymbolMT" w:hAnsi="Tahoma" w:cs="Tahoma"/>
          <w:sz w:val="22"/>
          <w:szCs w:val="22"/>
        </w:rPr>
        <w:t>]</w:t>
      </w:r>
      <w:r w:rsidRPr="00A47FF4">
        <w:rPr>
          <w:rFonts w:ascii="Tahoma" w:hAnsi="Tahoma" w:cs="Tahoma"/>
          <w:sz w:val="22"/>
          <w:szCs w:val="22"/>
        </w:rPr>
        <w:t>organisme</w:t>
      </w:r>
      <w:proofErr w:type="gramEnd"/>
      <w:r w:rsidRPr="00A47FF4">
        <w:rPr>
          <w:rFonts w:ascii="Tahoma" w:hAnsi="Tahoma" w:cs="Tahoma"/>
          <w:sz w:val="22"/>
          <w:szCs w:val="22"/>
        </w:rPr>
        <w:t xml:space="preserve"> &gt;&gt; </w:t>
      </w:r>
      <w:r w:rsidRPr="00A47FF4">
        <w:rPr>
          <w:rFonts w:ascii="Tahoma" w:eastAsia="SymbolMT" w:hAnsi="Tahoma" w:cs="Tahoma"/>
          <w:sz w:val="22"/>
          <w:szCs w:val="22"/>
        </w:rPr>
        <w:t>[</w:t>
      </w:r>
      <w:r w:rsidRPr="00A47FF4">
        <w:rPr>
          <w:rFonts w:ascii="Tahoma" w:hAnsi="Tahoma" w:cs="Tahoma"/>
          <w:sz w:val="22"/>
          <w:szCs w:val="22"/>
        </w:rPr>
        <w:t>polluant</w:t>
      </w:r>
      <w:r w:rsidRPr="00A47FF4">
        <w:rPr>
          <w:rFonts w:ascii="Tahoma" w:eastAsia="SymbolMT" w:hAnsi="Tahoma" w:cs="Tahoma"/>
          <w:sz w:val="22"/>
          <w:szCs w:val="22"/>
        </w:rPr>
        <w:t>]</w:t>
      </w:r>
      <w:r w:rsidRPr="00A47FF4">
        <w:rPr>
          <w:rFonts w:ascii="Tahoma" w:hAnsi="Tahoma" w:cs="Tahoma"/>
          <w:sz w:val="22"/>
          <w:szCs w:val="22"/>
        </w:rPr>
        <w:t>biotope indication des taux maxima atteints par le polluant dans le biotope.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Si </w:t>
      </w:r>
      <w:r>
        <w:rPr>
          <w:rFonts w:ascii="Tahoma" w:hAnsi="Tahoma" w:cs="Tahoma"/>
          <w:b/>
          <w:bCs/>
          <w:sz w:val="22"/>
          <w:szCs w:val="22"/>
        </w:rPr>
        <w:t>Ta=</w:t>
      </w:r>
      <w:r w:rsidRPr="005C4AD7">
        <w:rPr>
          <w:rFonts w:ascii="Tahoma" w:hAnsi="Tahoma" w:cs="Tahoma"/>
          <w:b/>
          <w:bCs/>
          <w:sz w:val="22"/>
          <w:szCs w:val="22"/>
        </w:rPr>
        <w:t>Te</w:t>
      </w:r>
      <w:r w:rsidRPr="00A47FF4">
        <w:rPr>
          <w:rFonts w:ascii="Tahoma" w:hAnsi="Tahoma" w:cs="Tahoma"/>
          <w:sz w:val="22"/>
          <w:szCs w:val="22"/>
        </w:rPr>
        <w:t xml:space="preserve"> : </w:t>
      </w:r>
      <w:r w:rsidRPr="00A47FF4">
        <w:rPr>
          <w:rFonts w:ascii="Tahoma" w:eastAsia="SymbolMT" w:hAnsi="Tahoma" w:cs="Tahoma"/>
          <w:sz w:val="22"/>
          <w:szCs w:val="22"/>
        </w:rPr>
        <w:t>[</w:t>
      </w:r>
      <w:r w:rsidRPr="00A47FF4">
        <w:rPr>
          <w:rFonts w:ascii="Tahoma" w:hAnsi="Tahoma" w:cs="Tahoma"/>
          <w:sz w:val="22"/>
          <w:szCs w:val="22"/>
        </w:rPr>
        <w:t>polluant</w:t>
      </w:r>
      <w:proofErr w:type="gramStart"/>
      <w:r w:rsidRPr="00A47FF4">
        <w:rPr>
          <w:rFonts w:ascii="Tahoma" w:eastAsia="SymbolMT" w:hAnsi="Tahoma" w:cs="Tahoma"/>
          <w:sz w:val="22"/>
          <w:szCs w:val="22"/>
        </w:rPr>
        <w:t>]</w:t>
      </w:r>
      <w:r w:rsidRPr="00A47FF4">
        <w:rPr>
          <w:rFonts w:ascii="Tahoma" w:hAnsi="Tahoma" w:cs="Tahoma"/>
          <w:sz w:val="22"/>
          <w:szCs w:val="22"/>
        </w:rPr>
        <w:t>organisme</w:t>
      </w:r>
      <w:proofErr w:type="gramEnd"/>
      <w:r w:rsidRPr="00A47FF4">
        <w:rPr>
          <w:rFonts w:ascii="Tahoma" w:hAnsi="Tahoma" w:cs="Tahoma"/>
          <w:sz w:val="22"/>
          <w:szCs w:val="22"/>
        </w:rPr>
        <w:t xml:space="preserve"> = </w:t>
      </w:r>
      <w:r w:rsidRPr="00A47FF4">
        <w:rPr>
          <w:rFonts w:ascii="Tahoma" w:eastAsia="SymbolMT" w:hAnsi="Tahoma" w:cs="Tahoma"/>
          <w:sz w:val="22"/>
          <w:szCs w:val="22"/>
        </w:rPr>
        <w:t>[</w:t>
      </w:r>
      <w:r w:rsidRPr="00A47FF4">
        <w:rPr>
          <w:rFonts w:ascii="Tahoma" w:hAnsi="Tahoma" w:cs="Tahoma"/>
          <w:sz w:val="22"/>
          <w:szCs w:val="22"/>
        </w:rPr>
        <w:t>polluant</w:t>
      </w:r>
      <w:r w:rsidRPr="00A47FF4">
        <w:rPr>
          <w:rFonts w:ascii="Tahoma" w:eastAsia="SymbolMT" w:hAnsi="Tahoma" w:cs="Tahoma"/>
          <w:sz w:val="22"/>
          <w:szCs w:val="22"/>
        </w:rPr>
        <w:t>]</w:t>
      </w:r>
      <w:r w:rsidRPr="00A47FF4">
        <w:rPr>
          <w:rFonts w:ascii="Tahoma" w:hAnsi="Tahoma" w:cs="Tahoma"/>
          <w:sz w:val="22"/>
          <w:szCs w:val="22"/>
        </w:rPr>
        <w:t>biotope indication des taux réellement présents dans le biotope, avec fluctuations similaires à celles observées dans l’environnement.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Rapport variable selon l’espèce </w:t>
      </w:r>
      <w:proofErr w:type="spellStart"/>
      <w:r w:rsidRPr="00A47FF4">
        <w:rPr>
          <w:rFonts w:ascii="Tahoma" w:hAnsi="Tahoma" w:cs="Tahoma"/>
          <w:sz w:val="22"/>
          <w:szCs w:val="22"/>
        </w:rPr>
        <w:t>bioindicatrice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et les caractéristiques de la substance polluante.</w:t>
      </w: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-Organochlorés (Lindane ou DDT) très persistants : </w:t>
      </w:r>
      <w:r w:rsidRPr="005700B5">
        <w:rPr>
          <w:rFonts w:ascii="Tahoma" w:hAnsi="Tahoma" w:cs="Tahoma"/>
          <w:b/>
          <w:bCs/>
          <w:sz w:val="22"/>
          <w:szCs w:val="22"/>
        </w:rPr>
        <w:t>Ta &gt;&gt; Te</w:t>
      </w:r>
      <w:r w:rsidRPr="00A47FF4"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-Organophosphorés (</w:t>
      </w:r>
      <w:proofErr w:type="spellStart"/>
      <w:r w:rsidRPr="00A47FF4">
        <w:rPr>
          <w:rFonts w:ascii="Tahoma" w:hAnsi="Tahoma" w:cs="Tahoma"/>
          <w:sz w:val="22"/>
          <w:szCs w:val="22"/>
        </w:rPr>
        <w:t>Fenitrothion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) peu persistants : </w:t>
      </w:r>
      <w:r w:rsidRPr="005700B5">
        <w:rPr>
          <w:rFonts w:ascii="Tahoma" w:hAnsi="Tahoma" w:cs="Tahoma"/>
          <w:b/>
          <w:bCs/>
          <w:sz w:val="22"/>
          <w:szCs w:val="22"/>
        </w:rPr>
        <w:t>Ta = Te</w:t>
      </w:r>
      <w:r w:rsidRPr="00A47FF4"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A47FF4">
        <w:rPr>
          <w:rFonts w:ascii="Tahoma" w:hAnsi="Tahoma" w:cs="Tahoma"/>
          <w:b/>
          <w:bCs/>
          <w:sz w:val="22"/>
          <w:szCs w:val="22"/>
        </w:rPr>
        <w:t xml:space="preserve">b. Les conditions physiologiques de </w:t>
      </w:r>
      <w:r>
        <w:rPr>
          <w:rFonts w:ascii="Tahoma" w:hAnsi="Tahoma" w:cs="Tahoma"/>
          <w:b/>
          <w:bCs/>
          <w:sz w:val="22"/>
          <w:szCs w:val="22"/>
        </w:rPr>
        <w:t>l’</w:t>
      </w:r>
      <w:r w:rsidRPr="00A47FF4">
        <w:rPr>
          <w:rFonts w:ascii="Tahoma" w:hAnsi="Tahoma" w:cs="Tahoma"/>
          <w:b/>
          <w:bCs/>
          <w:sz w:val="22"/>
          <w:szCs w:val="22"/>
        </w:rPr>
        <w:t>individu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Variations de </w:t>
      </w:r>
      <w:r w:rsidRPr="005C4AD7">
        <w:rPr>
          <w:rFonts w:ascii="Tahoma" w:hAnsi="Tahoma" w:cs="Tahoma"/>
          <w:b/>
          <w:bCs/>
          <w:sz w:val="22"/>
          <w:szCs w:val="22"/>
        </w:rPr>
        <w:t>Ta</w:t>
      </w:r>
      <w:r w:rsidRPr="00A47FF4">
        <w:rPr>
          <w:rFonts w:ascii="Tahoma" w:hAnsi="Tahoma" w:cs="Tahoma"/>
          <w:sz w:val="22"/>
          <w:szCs w:val="22"/>
        </w:rPr>
        <w:t xml:space="preserve"> en fonction des conditions </w:t>
      </w:r>
      <w:proofErr w:type="spellStart"/>
      <w:r w:rsidRPr="00A47FF4">
        <w:rPr>
          <w:rFonts w:ascii="Tahoma" w:hAnsi="Tahoma" w:cs="Tahoma"/>
          <w:sz w:val="22"/>
          <w:szCs w:val="22"/>
        </w:rPr>
        <w:t>écophysiologiques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des organismes considérés.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variation alimentaire.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variation du statut reproducteur (maturation ou repos sexuel).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A47FF4">
        <w:rPr>
          <w:rFonts w:ascii="Tahoma" w:hAnsi="Tahoma" w:cs="Tahoma"/>
          <w:sz w:val="22"/>
          <w:szCs w:val="22"/>
        </w:rPr>
        <w:t>variation saisonnière du métabolisme et de la composition biochimique des différents organes.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augmentation avec l’âge et la taille des individus d’une espèce donnée.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Nécessité d’effectuer des prélèvements d’individus dans un même site à différents moments d’un cycle annuel.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• Le sexe (male et femelles). 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• L’état physiologique (femelles gestantes, allaitements). 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 L’</w:t>
      </w:r>
      <w:proofErr w:type="spellStart"/>
      <w:r>
        <w:rPr>
          <w:rFonts w:ascii="Tahoma" w:hAnsi="Tahoma" w:cs="Tahoma"/>
          <w:sz w:val="22"/>
          <w:szCs w:val="22"/>
        </w:rPr>
        <w:t>age</w:t>
      </w:r>
      <w:proofErr w:type="spellEnd"/>
      <w:r>
        <w:rPr>
          <w:rFonts w:ascii="Tahoma" w:hAnsi="Tahoma" w:cs="Tahoma"/>
          <w:sz w:val="22"/>
          <w:szCs w:val="22"/>
        </w:rPr>
        <w:t xml:space="preserve"> (jeune, adulte).</w:t>
      </w:r>
    </w:p>
    <w:p w:rsidR="00D11149" w:rsidRPr="00A47FF4" w:rsidRDefault="00D11149" w:rsidP="00D11149">
      <w:pPr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A47FF4">
        <w:rPr>
          <w:rFonts w:ascii="Tahoma" w:hAnsi="Tahoma" w:cs="Tahoma"/>
          <w:b/>
          <w:bCs/>
          <w:sz w:val="22"/>
          <w:szCs w:val="22"/>
        </w:rPr>
        <w:t>c. Interactions physio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Pr="00A47FF4">
        <w:rPr>
          <w:rFonts w:ascii="Tahoma" w:hAnsi="Tahoma" w:cs="Tahoma"/>
          <w:b/>
          <w:bCs/>
          <w:sz w:val="22"/>
          <w:szCs w:val="22"/>
        </w:rPr>
        <w:t>toxicologiques des polluants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Nécessité d’évaluer les interactions éventuelles entre polluants lors de mise en place de programme de monitoring.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Mécanismes influençant l’absorption des micropolluants en Interaction.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réduction de l’absorption suite à la formation de complexes entre polluants.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 modifications physiologiques induites par un des </w:t>
      </w:r>
      <w:proofErr w:type="spellStart"/>
      <w:r w:rsidRPr="00A47FF4">
        <w:rPr>
          <w:rFonts w:ascii="Tahoma" w:hAnsi="Tahoma" w:cs="Tahoma"/>
          <w:sz w:val="22"/>
          <w:szCs w:val="22"/>
        </w:rPr>
        <w:t>xénobiotiques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présents.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variation de la perméabilité des membranes, modifiant la pénétration des polluants.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inhibition ou stimulation du système enzymatique de détoxication.</w:t>
      </w:r>
    </w:p>
    <w:p w:rsidR="00D11149" w:rsidRPr="00A47FF4" w:rsidRDefault="00D11149" w:rsidP="00D11149">
      <w:pPr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A47FF4">
        <w:rPr>
          <w:rFonts w:ascii="Tahoma" w:hAnsi="Tahoma" w:cs="Tahoma"/>
          <w:b/>
          <w:bCs/>
          <w:sz w:val="22"/>
          <w:szCs w:val="22"/>
        </w:rPr>
        <w:t>d. Les facteurs extrinsèques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La température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Le pH des eaux et des sols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La salinité</w:t>
      </w:r>
    </w:p>
    <w:p w:rsidR="00D11149" w:rsidRPr="00A47FF4" w:rsidRDefault="00D11149" w:rsidP="00D11149">
      <w:pPr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</w:t>
      </w:r>
      <w:r w:rsidRPr="00A47FF4">
        <w:rPr>
          <w:rFonts w:ascii="Tahoma" w:hAnsi="Tahoma" w:cs="Tahoma"/>
          <w:b/>
          <w:bCs/>
          <w:sz w:val="22"/>
          <w:szCs w:val="22"/>
        </w:rPr>
        <w:t xml:space="preserve">. Utilisation des </w:t>
      </w:r>
      <w:r>
        <w:rPr>
          <w:rFonts w:ascii="Tahoma" w:hAnsi="Tahoma" w:cs="Tahoma"/>
          <w:b/>
          <w:bCs/>
          <w:sz w:val="22"/>
          <w:szCs w:val="22"/>
        </w:rPr>
        <w:t>bio-</w:t>
      </w:r>
      <w:r w:rsidRPr="00A47FF4">
        <w:rPr>
          <w:rFonts w:ascii="Tahoma" w:hAnsi="Tahoma" w:cs="Tahoma"/>
          <w:b/>
          <w:bCs/>
          <w:sz w:val="22"/>
          <w:szCs w:val="22"/>
        </w:rPr>
        <w:t>indicateurs d’accumulation :</w:t>
      </w: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1. Les M</w:t>
      </w:r>
      <w:r w:rsidRPr="00A47FF4">
        <w:rPr>
          <w:rFonts w:ascii="Tahoma" w:hAnsi="Tahoma" w:cs="Tahoma"/>
          <w:b/>
          <w:bCs/>
          <w:sz w:val="22"/>
          <w:szCs w:val="22"/>
        </w:rPr>
        <w:t>ollusques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 w:rsidRPr="00B3401D">
        <w:rPr>
          <w:rFonts w:ascii="Tahoma" w:hAnsi="Tahoma" w:cs="Tahoma"/>
          <w:sz w:val="22"/>
          <w:szCs w:val="22"/>
          <w:u w:val="single"/>
        </w:rPr>
        <w:t>Excellents indicateurs</w:t>
      </w:r>
      <w:r w:rsidRPr="00A47FF4">
        <w:rPr>
          <w:rFonts w:ascii="Tahoma" w:hAnsi="Tahoma" w:cs="Tahoma"/>
          <w:sz w:val="22"/>
          <w:szCs w:val="22"/>
        </w:rPr>
        <w:t xml:space="preserve"> de contamination des eaux continentales et marines, grâce à leur aptitude à la bioaccumulation.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Caractéristiques favorables à leur emploi comme </w:t>
      </w:r>
      <w:proofErr w:type="spellStart"/>
      <w:r w:rsidRPr="00A47FF4">
        <w:rPr>
          <w:rFonts w:ascii="Tahoma" w:hAnsi="Tahoma" w:cs="Tahoma"/>
          <w:sz w:val="22"/>
          <w:szCs w:val="22"/>
        </w:rPr>
        <w:t>bioindicateurs</w:t>
      </w:r>
      <w:proofErr w:type="spellEnd"/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caractère permanent.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 cycle </w:t>
      </w:r>
      <w:r>
        <w:rPr>
          <w:rFonts w:ascii="Tahoma" w:hAnsi="Tahoma" w:cs="Tahoma"/>
          <w:sz w:val="22"/>
          <w:szCs w:val="22"/>
        </w:rPr>
        <w:t>de vie</w:t>
      </w:r>
      <w:r w:rsidRPr="00A47FF4">
        <w:rPr>
          <w:rFonts w:ascii="Tahoma" w:hAnsi="Tahoma" w:cs="Tahoma"/>
          <w:sz w:val="22"/>
          <w:szCs w:val="22"/>
        </w:rPr>
        <w:t xml:space="preserve"> long (plusieurs mois à plusieurs années).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échantillonnage qualitatif et quantitatif aisé (taxonomie connue).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 w:rsidRPr="00B3401D">
        <w:rPr>
          <w:rFonts w:ascii="Tahoma" w:hAnsi="Tahoma" w:cs="Tahoma"/>
          <w:sz w:val="22"/>
          <w:szCs w:val="22"/>
          <w:u w:val="single"/>
        </w:rPr>
        <w:t>En milieu continental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bivalves de grande taille (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Unio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,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Anodonta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,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Dreissena</w:t>
      </w:r>
      <w:proofErr w:type="spellEnd"/>
      <w:r w:rsidRPr="00A47FF4">
        <w:rPr>
          <w:rFonts w:ascii="Tahoma" w:hAnsi="Tahoma" w:cs="Tahoma"/>
          <w:sz w:val="22"/>
          <w:szCs w:val="22"/>
        </w:rPr>
        <w:t>) à régime microphage filtreur.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 w:rsidRPr="00B3401D">
        <w:rPr>
          <w:rFonts w:ascii="Tahoma" w:hAnsi="Tahoma" w:cs="Tahoma"/>
          <w:sz w:val="22"/>
          <w:szCs w:val="22"/>
          <w:u w:val="single"/>
        </w:rPr>
        <w:t>En milieu marin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moules (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Mytilus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edulis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et </w:t>
      </w:r>
      <w:r w:rsidRPr="009C4EC0">
        <w:rPr>
          <w:rFonts w:ascii="Tahoma" w:hAnsi="Tahoma" w:cs="Tahoma"/>
          <w:i/>
          <w:iCs/>
          <w:sz w:val="22"/>
          <w:szCs w:val="22"/>
        </w:rPr>
        <w:t xml:space="preserve">M. </w:t>
      </w:r>
      <w:proofErr w:type="spellStart"/>
      <w:r w:rsidRPr="009C4EC0">
        <w:rPr>
          <w:rFonts w:ascii="Tahoma" w:hAnsi="Tahoma" w:cs="Tahoma"/>
          <w:i/>
          <w:iCs/>
          <w:sz w:val="22"/>
          <w:szCs w:val="22"/>
        </w:rPr>
        <w:t>galloprovincialis</w:t>
      </w:r>
      <w:proofErr w:type="spellEnd"/>
      <w:r w:rsidRPr="00A47FF4">
        <w:rPr>
          <w:rFonts w:ascii="Tahoma" w:hAnsi="Tahoma" w:cs="Tahoma"/>
          <w:sz w:val="22"/>
          <w:szCs w:val="22"/>
        </w:rPr>
        <w:t>) et huîtres (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Crassostraea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virginica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et </w:t>
      </w:r>
      <w:r w:rsidRPr="00B3401D">
        <w:rPr>
          <w:rFonts w:ascii="Tahoma" w:hAnsi="Tahoma" w:cs="Tahoma"/>
          <w:i/>
          <w:iCs/>
          <w:sz w:val="22"/>
          <w:szCs w:val="22"/>
        </w:rPr>
        <w:t>C. gigas</w:t>
      </w:r>
      <w:r w:rsidRPr="00A47FF4">
        <w:rPr>
          <w:rFonts w:ascii="Tahoma" w:hAnsi="Tahoma" w:cs="Tahoma"/>
          <w:sz w:val="22"/>
          <w:szCs w:val="22"/>
        </w:rPr>
        <w:t>).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lastRenderedPageBreak/>
        <w:t>- mise en place d’un vaste programme de monitoring de la pollution des eaux littorales du Pacifique et de l’Atlantique aux USA (</w:t>
      </w:r>
      <w:proofErr w:type="spellStart"/>
      <w:r w:rsidRPr="00A47FF4">
        <w:rPr>
          <w:rFonts w:ascii="Tahoma" w:hAnsi="Tahoma" w:cs="Tahoma"/>
          <w:sz w:val="22"/>
          <w:szCs w:val="22"/>
        </w:rPr>
        <w:t>Mussel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Watch).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2. Les P</w:t>
      </w:r>
      <w:r w:rsidRPr="00A47FF4">
        <w:rPr>
          <w:rFonts w:ascii="Tahoma" w:hAnsi="Tahoma" w:cs="Tahoma"/>
          <w:b/>
          <w:bCs/>
          <w:sz w:val="22"/>
          <w:szCs w:val="22"/>
        </w:rPr>
        <w:t>oissons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• Utilisation à vaste échelle comme indicateurs en milieux continental et marin (monitoring des PCB et des organochlorés aux USA, des métaux lourds en Scandinavie)</w:t>
      </w:r>
      <w:r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Bioaccumulation importante chez les espèces prédatrices ou </w:t>
      </w:r>
      <w:proofErr w:type="spellStart"/>
      <w:r w:rsidRPr="00A47FF4">
        <w:rPr>
          <w:rFonts w:ascii="Tahoma" w:hAnsi="Tahoma" w:cs="Tahoma"/>
          <w:sz w:val="22"/>
          <w:szCs w:val="22"/>
        </w:rPr>
        <w:t>superprédatrices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(105 fois la concentration de l’eau en certains contaminants minéraux ou organiques).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En eau douce : études très nombreuses sur la truite arc-en-ciel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Oncorhynchus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mykiss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et le vairon américain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Pimephales</w:t>
      </w:r>
      <w:proofErr w:type="spellEnd"/>
      <w:r w:rsidRPr="00B3401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B3401D">
        <w:rPr>
          <w:rFonts w:ascii="Tahoma" w:hAnsi="Tahoma" w:cs="Tahoma"/>
          <w:i/>
          <w:iCs/>
          <w:sz w:val="22"/>
          <w:szCs w:val="22"/>
        </w:rPr>
        <w:t>promelas</w:t>
      </w:r>
      <w:proofErr w:type="spellEnd"/>
      <w:r w:rsidRPr="00A47FF4"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3. Les I</w:t>
      </w:r>
      <w:r w:rsidRPr="00A47FF4">
        <w:rPr>
          <w:rFonts w:ascii="Tahoma" w:hAnsi="Tahoma" w:cs="Tahoma"/>
          <w:b/>
          <w:bCs/>
          <w:sz w:val="22"/>
          <w:szCs w:val="22"/>
        </w:rPr>
        <w:t>nvertébrés terrestres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>
        <w:rPr>
          <w:rFonts w:ascii="Tahoma" w:hAnsi="Tahoma" w:cs="Tahoma"/>
          <w:sz w:val="22"/>
          <w:szCs w:val="22"/>
          <w:u w:val="single"/>
        </w:rPr>
        <w:t>Les A</w:t>
      </w:r>
      <w:r w:rsidRPr="008A2B0F">
        <w:rPr>
          <w:rFonts w:ascii="Tahoma" w:hAnsi="Tahoma" w:cs="Tahoma"/>
          <w:sz w:val="22"/>
          <w:szCs w:val="22"/>
          <w:u w:val="single"/>
        </w:rPr>
        <w:t>nnélides oligochètes</w:t>
      </w:r>
      <w:r w:rsidRPr="00A47FF4">
        <w:rPr>
          <w:rFonts w:ascii="Tahoma" w:hAnsi="Tahoma" w:cs="Tahoma"/>
          <w:sz w:val="22"/>
          <w:szCs w:val="22"/>
        </w:rPr>
        <w:t xml:space="preserve"> : animaux dont l’écophysiologie le conduit à ingérer chaque jour 3 fois leur poids corporel en matière organique morte mélangée à un sol.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utilisation d’</w:t>
      </w:r>
      <w:proofErr w:type="spellStart"/>
      <w:r w:rsidRPr="00A47FF4">
        <w:rPr>
          <w:rFonts w:ascii="Tahoma" w:hAnsi="Tahoma" w:cs="Tahoma"/>
          <w:sz w:val="22"/>
          <w:szCs w:val="22"/>
        </w:rPr>
        <w:t>Eisenia</w:t>
      </w:r>
      <w:proofErr w:type="spellEnd"/>
      <w:r w:rsidRPr="00A47FF4">
        <w:rPr>
          <w:rFonts w:ascii="Tahoma" w:hAnsi="Tahoma" w:cs="Tahoma"/>
          <w:sz w:val="22"/>
          <w:szCs w:val="22"/>
        </w:rPr>
        <w:t xml:space="preserve"> comme espèce de référence pour tester la contamination des sols en tout produit chimique nouveau.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 forte bioconcentration des organochlorés par </w:t>
      </w:r>
      <w:proofErr w:type="spellStart"/>
      <w:r w:rsidRPr="0004441D">
        <w:rPr>
          <w:rFonts w:ascii="Tahoma" w:hAnsi="Tahoma" w:cs="Tahoma"/>
          <w:i/>
          <w:iCs/>
          <w:sz w:val="22"/>
          <w:szCs w:val="22"/>
        </w:rPr>
        <w:t>Lombricus</w:t>
      </w:r>
      <w:proofErr w:type="spellEnd"/>
      <w:r w:rsidRPr="0004441D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04441D">
        <w:rPr>
          <w:rFonts w:ascii="Tahoma" w:hAnsi="Tahoma" w:cs="Tahoma"/>
          <w:i/>
          <w:iCs/>
          <w:sz w:val="22"/>
          <w:szCs w:val="22"/>
        </w:rPr>
        <w:t>terrestris</w:t>
      </w:r>
      <w:proofErr w:type="spellEnd"/>
      <w:r w:rsidRPr="00A47FF4">
        <w:rPr>
          <w:rFonts w:ascii="Tahoma" w:hAnsi="Tahoma" w:cs="Tahoma"/>
          <w:sz w:val="22"/>
          <w:szCs w:val="22"/>
        </w:rPr>
        <w:t>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 w:rsidRPr="008A2B0F">
        <w:rPr>
          <w:rFonts w:ascii="Tahoma" w:hAnsi="Tahoma" w:cs="Tahoma"/>
          <w:sz w:val="22"/>
          <w:szCs w:val="22"/>
          <w:u w:val="single"/>
        </w:rPr>
        <w:t>Les Crustacés isopodes</w:t>
      </w:r>
      <w:r w:rsidRPr="00A47FF4">
        <w:rPr>
          <w:rFonts w:ascii="Tahoma" w:hAnsi="Tahoma" w:cs="Tahoma"/>
          <w:sz w:val="22"/>
          <w:szCs w:val="22"/>
        </w:rPr>
        <w:t xml:space="preserve"> (cloportes) considérés comme de bons indicateurs des contaminations en métaux lourds (Cd, Pb).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Pr="00A47FF4" w:rsidRDefault="00D11149" w:rsidP="00D11149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4. Les V</w:t>
      </w:r>
      <w:r w:rsidRPr="00A47FF4">
        <w:rPr>
          <w:rFonts w:ascii="Tahoma" w:hAnsi="Tahoma" w:cs="Tahoma"/>
          <w:b/>
          <w:bCs/>
          <w:sz w:val="22"/>
          <w:szCs w:val="22"/>
        </w:rPr>
        <w:t>ertébrés terrestres :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 w:rsidRPr="007A63CA">
        <w:rPr>
          <w:rFonts w:ascii="Tahoma" w:hAnsi="Tahoma" w:cs="Tahoma"/>
          <w:sz w:val="22"/>
          <w:szCs w:val="22"/>
          <w:u w:val="single"/>
        </w:rPr>
        <w:t xml:space="preserve">Les </w:t>
      </w:r>
      <w:r>
        <w:rPr>
          <w:rFonts w:ascii="Tahoma" w:hAnsi="Tahoma" w:cs="Tahoma"/>
          <w:sz w:val="22"/>
          <w:szCs w:val="22"/>
          <w:u w:val="single"/>
        </w:rPr>
        <w:t>O</w:t>
      </w:r>
      <w:r w:rsidRPr="007A63CA">
        <w:rPr>
          <w:rFonts w:ascii="Tahoma" w:hAnsi="Tahoma" w:cs="Tahoma"/>
          <w:sz w:val="22"/>
          <w:szCs w:val="22"/>
          <w:u w:val="single"/>
        </w:rPr>
        <w:t>iseaux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Aptitude à accumuler des substances toxiques dans le plumage</w:t>
      </w:r>
      <w:r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 Détermination de la contamination des flamands roses par le Cd et </w:t>
      </w:r>
      <w:proofErr w:type="gramStart"/>
      <w:r w:rsidRPr="00A47FF4">
        <w:rPr>
          <w:rFonts w:ascii="Tahoma" w:hAnsi="Tahoma" w:cs="Tahoma"/>
          <w:sz w:val="22"/>
          <w:szCs w:val="22"/>
        </w:rPr>
        <w:t>le Hg</w:t>
      </w:r>
      <w:proofErr w:type="gramEnd"/>
      <w:r w:rsidRPr="00A47FF4">
        <w:rPr>
          <w:rFonts w:ascii="Tahoma" w:hAnsi="Tahoma" w:cs="Tahoma"/>
          <w:sz w:val="22"/>
          <w:szCs w:val="22"/>
        </w:rPr>
        <w:t>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>- Utilisation des plumes d’oiseaux en Suède pour évaluer la contamination de l’espace rural.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• </w:t>
      </w:r>
      <w:r>
        <w:rPr>
          <w:rFonts w:ascii="Tahoma" w:hAnsi="Tahoma" w:cs="Tahoma"/>
          <w:sz w:val="22"/>
          <w:szCs w:val="22"/>
          <w:u w:val="single"/>
        </w:rPr>
        <w:t>Les M</w:t>
      </w:r>
      <w:r w:rsidRPr="007A63CA">
        <w:rPr>
          <w:rFonts w:ascii="Tahoma" w:hAnsi="Tahoma" w:cs="Tahoma"/>
          <w:sz w:val="22"/>
          <w:szCs w:val="22"/>
          <w:u w:val="single"/>
        </w:rPr>
        <w:t>ammifères</w:t>
      </w:r>
    </w:p>
    <w:p w:rsidR="00D11149" w:rsidRPr="00A47FF4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47FF4">
        <w:rPr>
          <w:rFonts w:ascii="Tahoma" w:hAnsi="Tahoma" w:cs="Tahoma"/>
          <w:sz w:val="22"/>
          <w:szCs w:val="22"/>
        </w:rPr>
        <w:t xml:space="preserve">- Utilisation des </w:t>
      </w:r>
      <w:r>
        <w:rPr>
          <w:rFonts w:ascii="Tahoma" w:hAnsi="Tahoma" w:cs="Tahoma"/>
          <w:sz w:val="22"/>
          <w:szCs w:val="22"/>
        </w:rPr>
        <w:t>rongeurs</w:t>
      </w:r>
      <w:r w:rsidRPr="00A47FF4">
        <w:rPr>
          <w:rFonts w:ascii="Tahoma" w:hAnsi="Tahoma" w:cs="Tahoma"/>
          <w:sz w:val="22"/>
          <w:szCs w:val="22"/>
        </w:rPr>
        <w:t xml:space="preserve"> pour le monitoring de la pollution par les métaux lourds dans les écosystèmes forestiers.</w:t>
      </w:r>
      <w:r>
        <w:rPr>
          <w:rFonts w:ascii="Tahoma" w:hAnsi="Tahoma" w:cs="Tahoma"/>
          <w:sz w:val="22"/>
          <w:szCs w:val="22"/>
        </w:rPr>
        <w:t xml:space="preserve"> </w:t>
      </w:r>
      <w:r w:rsidRPr="00A47FF4">
        <w:rPr>
          <w:rFonts w:ascii="Tahoma" w:hAnsi="Tahoma" w:cs="Tahoma"/>
          <w:sz w:val="22"/>
          <w:szCs w:val="22"/>
        </w:rPr>
        <w:t>Concentration en Cd, Cr, P</w:t>
      </w:r>
      <w:r>
        <w:rPr>
          <w:rFonts w:ascii="Tahoma" w:hAnsi="Tahoma" w:cs="Tahoma"/>
          <w:sz w:val="22"/>
          <w:szCs w:val="22"/>
        </w:rPr>
        <w:t xml:space="preserve">b nettement supérieure chez les espèces </w:t>
      </w:r>
      <w:r w:rsidRPr="00A47FF4">
        <w:rPr>
          <w:rFonts w:ascii="Tahoma" w:hAnsi="Tahoma" w:cs="Tahoma"/>
          <w:sz w:val="22"/>
          <w:szCs w:val="22"/>
        </w:rPr>
        <w:t>prélevés dans les forêts polluées par les centrales thermiques et la sidérurgie</w:t>
      </w:r>
      <w:r>
        <w:rPr>
          <w:rFonts w:ascii="Tahoma" w:hAnsi="Tahoma" w:cs="Tahoma"/>
          <w:sz w:val="22"/>
          <w:szCs w:val="22"/>
        </w:rPr>
        <w:t xml:space="preserve">. </w:t>
      </w: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11149" w:rsidRDefault="00D11149" w:rsidP="00D11149">
      <w:pPr>
        <w:autoSpaceDE w:val="0"/>
        <w:autoSpaceDN w:val="0"/>
        <w:adjustRightInd w:val="0"/>
        <w:jc w:val="center"/>
      </w:pPr>
    </w:p>
    <w:p w:rsidR="00DC5AD1" w:rsidRDefault="00DC5AD1"/>
    <w:sectPr w:rsidR="00DC5AD1" w:rsidSect="00DC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D87"/>
    <w:multiLevelType w:val="hybridMultilevel"/>
    <w:tmpl w:val="BA468656"/>
    <w:lvl w:ilvl="0" w:tplc="05224E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149"/>
    <w:rsid w:val="00D11149"/>
    <w:rsid w:val="00D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2020-03-29T14:18:00Z</dcterms:created>
  <dcterms:modified xsi:type="dcterms:W3CDTF">2020-03-29T14:19:00Z</dcterms:modified>
</cp:coreProperties>
</file>