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C8" w:rsidRDefault="0031275E" w:rsidP="006157C8">
      <w:pPr>
        <w:rPr>
          <w:rFonts w:asciiTheme="majorBidi" w:hAnsiTheme="majorBidi" w:cstheme="majorBidi"/>
          <w:b/>
          <w:bCs/>
          <w:sz w:val="32"/>
          <w:szCs w:val="32"/>
        </w:rPr>
      </w:pPr>
      <w:r w:rsidRPr="006157C8">
        <w:rPr>
          <w:rFonts w:asciiTheme="majorBidi" w:hAnsiTheme="majorBidi" w:cstheme="majorBidi"/>
          <w:b/>
          <w:bCs/>
          <w:sz w:val="32"/>
          <w:szCs w:val="32"/>
        </w:rPr>
        <w:t xml:space="preserve">                                              La Germination</w:t>
      </w:r>
    </w:p>
    <w:p w:rsidR="00617278" w:rsidRDefault="00617278" w:rsidP="00617278">
      <w:pPr>
        <w:pStyle w:val="NormalWeb"/>
        <w:rPr>
          <w:color w:val="000000"/>
        </w:rPr>
      </w:pPr>
      <w:r w:rsidRPr="00617278">
        <w:rPr>
          <w:color w:val="000000"/>
        </w:rPr>
        <w:t xml:space="preserve">Les végétaux formant des graines sont appelés spermaphytes (étymologiquement : plantes à graine). Toutefois, la graine n'est pas seulement une étape comme une autre dans le cycle vital des spermaphytes. Elle constitue également un organe de dissémination et de résistance. Par son intermédiaire, ces plantes sont capables de compenser leur immobilité et de coloniser de nouveaux territoires. Transportées par le vent ou les animaux elles peuvent parcourir des distances considérables et germer à des milliers de kilomètres de leur région d'origine. </w:t>
      </w:r>
    </w:p>
    <w:p w:rsidR="00B35352" w:rsidRPr="009F6491" w:rsidRDefault="00B35352" w:rsidP="00B35352">
      <w:pPr>
        <w:pStyle w:val="NormalWeb"/>
        <w:shd w:val="clear" w:color="auto" w:fill="FFFFFF"/>
        <w:spacing w:before="120" w:beforeAutospacing="0" w:after="120" w:afterAutospacing="0"/>
        <w:rPr>
          <w:color w:val="000000" w:themeColor="text1"/>
        </w:rPr>
      </w:pPr>
      <w:r>
        <w:rPr>
          <w:color w:val="000000" w:themeColor="text1"/>
        </w:rPr>
        <w:t xml:space="preserve">La graine permet aussi </w:t>
      </w:r>
      <w:r w:rsidRPr="009F6491">
        <w:rPr>
          <w:color w:val="000000" w:themeColor="text1"/>
        </w:rPr>
        <w:t>à la plante d'échapper aux conditions d'un milieu devenu hostile soit en s'éloignant, soit en attendant le retour de circonstances favorables.</w:t>
      </w:r>
    </w:p>
    <w:p w:rsidR="00B35352" w:rsidRDefault="00B35352" w:rsidP="00B35352">
      <w:pPr>
        <w:pStyle w:val="NormalWeb"/>
        <w:shd w:val="clear" w:color="auto" w:fill="FFFFFF"/>
        <w:spacing w:before="120" w:beforeAutospacing="0" w:after="120" w:afterAutospacing="0"/>
        <w:rPr>
          <w:color w:val="000000" w:themeColor="text1"/>
        </w:rPr>
      </w:pPr>
      <w:r w:rsidRPr="009F6491">
        <w:rPr>
          <w:color w:val="000000" w:themeColor="text1"/>
        </w:rPr>
        <w:t>Elle provient d'une transformation de l'</w:t>
      </w:r>
      <w:hyperlink r:id="rId5" w:tooltip="Ovule (botanique)" w:history="1">
        <w:r w:rsidRPr="009F6491">
          <w:rPr>
            <w:rStyle w:val="Lienhypertexte"/>
            <w:color w:val="000000" w:themeColor="text1"/>
          </w:rPr>
          <w:t>ovule</w:t>
        </w:r>
      </w:hyperlink>
      <w:r w:rsidRPr="009F6491">
        <w:rPr>
          <w:rStyle w:val="apple-converted-space"/>
          <w:color w:val="000000" w:themeColor="text1"/>
        </w:rPr>
        <w:t> </w:t>
      </w:r>
      <w:hyperlink r:id="rId6" w:tooltip="Fécondation" w:history="1">
        <w:r w:rsidRPr="009F6491">
          <w:rPr>
            <w:rStyle w:val="Lienhypertexte"/>
            <w:color w:val="000000" w:themeColor="text1"/>
          </w:rPr>
          <w:t>fécondé</w:t>
        </w:r>
      </w:hyperlink>
      <w:r w:rsidR="00E60899">
        <w:rPr>
          <w:color w:val="000000" w:themeColor="text1"/>
        </w:rPr>
        <w:t>(</w:t>
      </w:r>
      <w:proofErr w:type="spellStart"/>
      <w:r w:rsidR="00E60899" w:rsidRPr="00E60899">
        <w:rPr>
          <w:b/>
          <w:bCs/>
          <w:color w:val="000000" w:themeColor="text1"/>
        </w:rPr>
        <w:t>Fig</w:t>
      </w:r>
      <w:proofErr w:type="spellEnd"/>
      <w:r w:rsidR="00E60899" w:rsidRPr="00E60899">
        <w:rPr>
          <w:b/>
          <w:bCs/>
          <w:color w:val="000000" w:themeColor="text1"/>
        </w:rPr>
        <w:t xml:space="preserve"> 1</w:t>
      </w:r>
      <w:r w:rsidR="00E60899">
        <w:rPr>
          <w:color w:val="000000" w:themeColor="text1"/>
        </w:rPr>
        <w:t>)</w:t>
      </w:r>
      <w:r w:rsidRPr="009F6491">
        <w:rPr>
          <w:color w:val="000000" w:themeColor="text1"/>
        </w:rPr>
        <w:t xml:space="preserve"> De ce fait, elle est composée à la fois de parties provenant du</w:t>
      </w:r>
      <w:r w:rsidRPr="009F6491">
        <w:rPr>
          <w:rStyle w:val="apple-converted-space"/>
          <w:color w:val="000000" w:themeColor="text1"/>
        </w:rPr>
        <w:t> </w:t>
      </w:r>
      <w:hyperlink r:id="rId7" w:tooltip="Sporophyte" w:history="1">
        <w:r w:rsidRPr="009F6491">
          <w:rPr>
            <w:rStyle w:val="Lienhypertexte"/>
            <w:color w:val="000000" w:themeColor="text1"/>
          </w:rPr>
          <w:t>sporophyte</w:t>
        </w:r>
      </w:hyperlink>
      <w:r w:rsidRPr="009F6491">
        <w:rPr>
          <w:rStyle w:val="apple-converted-space"/>
          <w:color w:val="000000" w:themeColor="text1"/>
        </w:rPr>
        <w:t> </w:t>
      </w:r>
      <w:r w:rsidRPr="009F6491">
        <w:rPr>
          <w:color w:val="000000" w:themeColor="text1"/>
        </w:rPr>
        <w:t>maternel (les enveloppes de la graine), du</w:t>
      </w:r>
      <w:r w:rsidRPr="009F6491">
        <w:rPr>
          <w:rStyle w:val="apple-converted-space"/>
          <w:color w:val="000000" w:themeColor="text1"/>
        </w:rPr>
        <w:t> </w:t>
      </w:r>
      <w:hyperlink r:id="rId8" w:tooltip="Gamétophyte" w:history="1">
        <w:r w:rsidRPr="009F6491">
          <w:rPr>
            <w:rStyle w:val="Lienhypertexte"/>
            <w:color w:val="000000" w:themeColor="text1"/>
          </w:rPr>
          <w:t>gamétophyte</w:t>
        </w:r>
      </w:hyperlink>
      <w:r w:rsidRPr="009F6491">
        <w:rPr>
          <w:rStyle w:val="apple-converted-space"/>
          <w:color w:val="000000" w:themeColor="text1"/>
        </w:rPr>
        <w:t> </w:t>
      </w:r>
      <w:r w:rsidRPr="009F6491">
        <w:rPr>
          <w:color w:val="000000" w:themeColor="text1"/>
        </w:rPr>
        <w:t>(les tissus de réserve de la graine) et du</w:t>
      </w:r>
      <w:r w:rsidRPr="009F6491">
        <w:rPr>
          <w:rStyle w:val="apple-converted-space"/>
          <w:color w:val="000000" w:themeColor="text1"/>
        </w:rPr>
        <w:t> </w:t>
      </w:r>
      <w:hyperlink r:id="rId9" w:tooltip="Sporophyte" w:history="1">
        <w:r w:rsidRPr="009F6491">
          <w:rPr>
            <w:rStyle w:val="Lienhypertexte"/>
            <w:color w:val="000000" w:themeColor="text1"/>
          </w:rPr>
          <w:t>sporophyte</w:t>
        </w:r>
      </w:hyperlink>
      <w:r w:rsidRPr="009F6491">
        <w:rPr>
          <w:rStyle w:val="apple-converted-space"/>
          <w:color w:val="000000" w:themeColor="text1"/>
        </w:rPr>
        <w:t> </w:t>
      </w:r>
      <w:r w:rsidRPr="009F6491">
        <w:rPr>
          <w:color w:val="000000" w:themeColor="text1"/>
        </w:rPr>
        <w:t>de la génération suivante : l'embryon.</w:t>
      </w:r>
    </w:p>
    <w:p w:rsidR="00B35352" w:rsidRPr="00096E64" w:rsidRDefault="00B35352" w:rsidP="00B35352">
      <w:pPr>
        <w:autoSpaceDE w:val="0"/>
        <w:autoSpaceDN w:val="0"/>
        <w:adjustRightInd w:val="0"/>
        <w:spacing w:after="0" w:line="240" w:lineRule="auto"/>
        <w:rPr>
          <w:rFonts w:asciiTheme="majorBidi" w:hAnsiTheme="majorBidi" w:cstheme="majorBidi"/>
          <w:color w:val="000000"/>
          <w:sz w:val="24"/>
          <w:szCs w:val="24"/>
        </w:rPr>
      </w:pPr>
    </w:p>
    <w:p w:rsidR="00B35352" w:rsidRPr="00096E64" w:rsidRDefault="00B35352" w:rsidP="00B35352">
      <w:pPr>
        <w:autoSpaceDE w:val="0"/>
        <w:autoSpaceDN w:val="0"/>
        <w:adjustRightInd w:val="0"/>
        <w:spacing w:after="0" w:line="240" w:lineRule="auto"/>
        <w:rPr>
          <w:rFonts w:asciiTheme="majorBidi" w:hAnsiTheme="majorBidi" w:cstheme="majorBidi"/>
          <w:color w:val="000000"/>
          <w:sz w:val="24"/>
          <w:szCs w:val="24"/>
        </w:rPr>
      </w:pPr>
      <w:r w:rsidRPr="00096E64">
        <w:rPr>
          <w:rFonts w:asciiTheme="majorBidi" w:hAnsiTheme="majorBidi" w:cstheme="majorBidi"/>
          <w:color w:val="000000"/>
          <w:sz w:val="24"/>
          <w:szCs w:val="24"/>
        </w:rPr>
        <w:t xml:space="preserve">                             </w:t>
      </w:r>
      <w:r w:rsidRPr="00096E64">
        <w:rPr>
          <w:rFonts w:asciiTheme="majorBidi" w:hAnsiTheme="majorBidi" w:cstheme="majorBidi"/>
          <w:noProof/>
          <w:color w:val="000000"/>
          <w:sz w:val="24"/>
          <w:szCs w:val="24"/>
          <w:lang w:eastAsia="fr-FR"/>
        </w:rPr>
        <w:drawing>
          <wp:inline distT="0" distB="0" distL="0" distR="0">
            <wp:extent cx="1912163" cy="2523744"/>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11623" cy="2523031"/>
                    </a:xfrm>
                    <a:prstGeom prst="rect">
                      <a:avLst/>
                    </a:prstGeom>
                    <a:noFill/>
                    <a:ln w="9525">
                      <a:noFill/>
                      <a:miter lim="800000"/>
                      <a:headEnd/>
                      <a:tailEnd/>
                    </a:ln>
                  </pic:spPr>
                </pic:pic>
              </a:graphicData>
            </a:graphic>
          </wp:inline>
        </w:drawing>
      </w:r>
    </w:p>
    <w:p w:rsidR="00B35352" w:rsidRPr="00096E64" w:rsidRDefault="00E60899" w:rsidP="00B35352">
      <w:pPr>
        <w:autoSpaceDE w:val="0"/>
        <w:autoSpaceDN w:val="0"/>
        <w:adjustRightInd w:val="0"/>
        <w:spacing w:after="0" w:line="240" w:lineRule="auto"/>
        <w:rPr>
          <w:rFonts w:asciiTheme="majorBidi" w:hAnsiTheme="majorBidi" w:cstheme="majorBidi"/>
          <w:color w:val="000000"/>
          <w:sz w:val="24"/>
          <w:szCs w:val="24"/>
        </w:rPr>
      </w:pPr>
      <w:proofErr w:type="spellStart"/>
      <w:r>
        <w:rPr>
          <w:rFonts w:asciiTheme="majorBidi" w:hAnsiTheme="majorBidi" w:cstheme="majorBidi"/>
          <w:color w:val="000000"/>
          <w:sz w:val="24"/>
          <w:szCs w:val="24"/>
        </w:rPr>
        <w:t>Fig</w:t>
      </w:r>
      <w:proofErr w:type="spellEnd"/>
      <w:r>
        <w:rPr>
          <w:rFonts w:asciiTheme="majorBidi" w:hAnsiTheme="majorBidi" w:cstheme="majorBidi"/>
          <w:color w:val="000000"/>
          <w:sz w:val="24"/>
          <w:szCs w:val="24"/>
        </w:rPr>
        <w:t xml:space="preserve"> 1</w:t>
      </w:r>
    </w:p>
    <w:p w:rsidR="00B35352" w:rsidRPr="00096E64" w:rsidRDefault="00B35352" w:rsidP="00B35352">
      <w:pPr>
        <w:autoSpaceDE w:val="0"/>
        <w:autoSpaceDN w:val="0"/>
        <w:adjustRightInd w:val="0"/>
        <w:spacing w:after="0" w:line="240" w:lineRule="auto"/>
        <w:rPr>
          <w:rFonts w:asciiTheme="majorBidi" w:hAnsiTheme="majorBidi" w:cstheme="majorBidi"/>
          <w:sz w:val="24"/>
          <w:szCs w:val="24"/>
        </w:rPr>
      </w:pPr>
      <w:r w:rsidRPr="00096E64">
        <w:rPr>
          <w:rFonts w:asciiTheme="majorBidi" w:hAnsiTheme="majorBidi" w:cstheme="majorBidi"/>
          <w:color w:val="000000"/>
          <w:sz w:val="24"/>
          <w:szCs w:val="24"/>
        </w:rPr>
        <w:t xml:space="preserve">Le sac embryonnaire est composé d’une cellule centrale avec 2 noyaux. </w:t>
      </w:r>
    </w:p>
    <w:p w:rsidR="00B35352" w:rsidRPr="00096E64" w:rsidRDefault="00B35352" w:rsidP="00B35352">
      <w:pPr>
        <w:autoSpaceDE w:val="0"/>
        <w:autoSpaceDN w:val="0"/>
        <w:adjustRightInd w:val="0"/>
        <w:spacing w:after="0" w:line="240" w:lineRule="auto"/>
        <w:rPr>
          <w:rFonts w:asciiTheme="majorBidi" w:hAnsiTheme="majorBidi" w:cstheme="majorBidi"/>
          <w:color w:val="000000"/>
          <w:sz w:val="24"/>
          <w:szCs w:val="24"/>
        </w:rPr>
      </w:pPr>
      <w:r w:rsidRPr="00096E64">
        <w:rPr>
          <w:rFonts w:asciiTheme="majorBidi" w:hAnsiTheme="majorBidi" w:cstheme="majorBidi"/>
          <w:color w:val="000000"/>
          <w:sz w:val="24"/>
          <w:szCs w:val="24"/>
        </w:rPr>
        <w:t>- Du côté du micropyle on observe 2 synergides avec oosphère (gamètes femelles</w:t>
      </w:r>
    </w:p>
    <w:p w:rsidR="00B35352" w:rsidRPr="00096E64" w:rsidRDefault="00B35352" w:rsidP="00B35352">
      <w:pPr>
        <w:autoSpaceDE w:val="0"/>
        <w:autoSpaceDN w:val="0"/>
        <w:adjustRightInd w:val="0"/>
        <w:spacing w:after="0" w:line="240" w:lineRule="auto"/>
        <w:rPr>
          <w:rFonts w:asciiTheme="majorBidi" w:hAnsiTheme="majorBidi" w:cstheme="majorBidi"/>
          <w:sz w:val="24"/>
          <w:szCs w:val="24"/>
        </w:rPr>
      </w:pPr>
      <w:r w:rsidRPr="00096E64">
        <w:rPr>
          <w:rFonts w:asciiTheme="majorBidi" w:hAnsiTheme="majorBidi" w:cstheme="majorBidi"/>
          <w:color w:val="000000"/>
          <w:sz w:val="24"/>
          <w:szCs w:val="24"/>
        </w:rPr>
        <w:t xml:space="preserve">(F)). L’ensemble de ces 3 cellules s’appelle  le complexe gamétique.  </w:t>
      </w:r>
    </w:p>
    <w:p w:rsidR="00B35352" w:rsidRDefault="00B35352" w:rsidP="00B35352">
      <w:pPr>
        <w:autoSpaceDE w:val="0"/>
        <w:autoSpaceDN w:val="0"/>
        <w:adjustRightInd w:val="0"/>
        <w:spacing w:after="0" w:line="240" w:lineRule="auto"/>
        <w:rPr>
          <w:rFonts w:asciiTheme="majorBidi" w:hAnsiTheme="majorBidi" w:cstheme="majorBidi"/>
          <w:color w:val="000000"/>
          <w:sz w:val="24"/>
          <w:szCs w:val="24"/>
        </w:rPr>
      </w:pPr>
      <w:r w:rsidRPr="00096E64">
        <w:rPr>
          <w:rFonts w:asciiTheme="majorBidi" w:hAnsiTheme="majorBidi" w:cstheme="majorBidi"/>
          <w:color w:val="000000"/>
          <w:sz w:val="24"/>
          <w:szCs w:val="24"/>
        </w:rPr>
        <w:t>Du côté de la chalaze se trouvent 3 cellules qu’on nomme les antipodes.</w:t>
      </w:r>
    </w:p>
    <w:p w:rsidR="00E60899" w:rsidRPr="00096E64" w:rsidRDefault="00E60899" w:rsidP="00B35352">
      <w:pPr>
        <w:autoSpaceDE w:val="0"/>
        <w:autoSpaceDN w:val="0"/>
        <w:adjustRightInd w:val="0"/>
        <w:spacing w:after="0" w:line="240" w:lineRule="auto"/>
        <w:rPr>
          <w:rFonts w:asciiTheme="majorBidi" w:hAnsiTheme="majorBidi" w:cstheme="majorBidi"/>
          <w:color w:val="000000"/>
          <w:sz w:val="24"/>
          <w:szCs w:val="24"/>
        </w:rPr>
      </w:pPr>
    </w:p>
    <w:p w:rsidR="00E60899" w:rsidRPr="00EA6A92" w:rsidRDefault="00E60899" w:rsidP="00E60899">
      <w:pPr>
        <w:pStyle w:val="NormalWeb"/>
        <w:shd w:val="clear" w:color="auto" w:fill="FFFFFF"/>
        <w:spacing w:before="120" w:beforeAutospacing="0" w:after="120" w:afterAutospacing="0"/>
        <w:rPr>
          <w:color w:val="000000" w:themeColor="text1"/>
        </w:rPr>
      </w:pPr>
      <w:r w:rsidRPr="00EA6A92">
        <w:rPr>
          <w:color w:val="000000" w:themeColor="text1"/>
        </w:rPr>
        <w:t>La graine est formée de l'extérieur vers l'intérieur par une enveloppe protectrice nommée</w:t>
      </w:r>
      <w:r w:rsidRPr="00EA6A92">
        <w:rPr>
          <w:rStyle w:val="apple-converted-space"/>
          <w:color w:val="000000" w:themeColor="text1"/>
        </w:rPr>
        <w:t> </w:t>
      </w:r>
      <w:hyperlink r:id="rId11" w:tooltip="Tégument (botanique)" w:history="1">
        <w:r w:rsidRPr="00EA6A92">
          <w:rPr>
            <w:rStyle w:val="Lienhypertexte"/>
            <w:color w:val="000000" w:themeColor="text1"/>
          </w:rPr>
          <w:t>tégument</w:t>
        </w:r>
      </w:hyperlink>
      <w:r w:rsidRPr="00EA6A92">
        <w:rPr>
          <w:color w:val="000000" w:themeColor="text1"/>
        </w:rPr>
        <w:t>, entourant un tissu de réserves nutritives, et l'</w:t>
      </w:r>
      <w:hyperlink r:id="rId12" w:tooltip="Embryon" w:history="1">
        <w:r w:rsidRPr="00EA6A92">
          <w:rPr>
            <w:rStyle w:val="Lienhypertexte"/>
            <w:color w:val="000000" w:themeColor="text1"/>
          </w:rPr>
          <w:t>embryon</w:t>
        </w:r>
      </w:hyperlink>
      <w:r>
        <w:rPr>
          <w:color w:val="000000" w:themeColor="text1"/>
        </w:rPr>
        <w:t xml:space="preserve"> (</w:t>
      </w:r>
      <w:proofErr w:type="spellStart"/>
      <w:r>
        <w:rPr>
          <w:color w:val="000000" w:themeColor="text1"/>
        </w:rPr>
        <w:t>Fig</w:t>
      </w:r>
      <w:proofErr w:type="spellEnd"/>
      <w:r>
        <w:rPr>
          <w:color w:val="000000" w:themeColor="text1"/>
        </w:rPr>
        <w:t xml:space="preserve"> 2).</w:t>
      </w:r>
    </w:p>
    <w:p w:rsidR="00E60899" w:rsidRPr="00EA6A92" w:rsidRDefault="00E60899" w:rsidP="00E60899">
      <w:pPr>
        <w:pStyle w:val="NormalWeb"/>
        <w:shd w:val="clear" w:color="auto" w:fill="FFFFFF"/>
        <w:spacing w:before="120" w:beforeAutospacing="0" w:after="120" w:afterAutospacing="0"/>
        <w:rPr>
          <w:color w:val="000000" w:themeColor="text1"/>
        </w:rPr>
      </w:pPr>
      <w:r w:rsidRPr="00EA6A92">
        <w:rPr>
          <w:color w:val="000000" w:themeColor="text1"/>
        </w:rPr>
        <w:t>Les tissus protecteurs constituent une des caractéristiques principales de la structure</w:t>
      </w:r>
      <w:r>
        <w:rPr>
          <w:color w:val="000000" w:themeColor="text1"/>
        </w:rPr>
        <w:t xml:space="preserve"> de la </w:t>
      </w:r>
      <w:r w:rsidRPr="00EA6A92">
        <w:rPr>
          <w:color w:val="000000" w:themeColor="text1"/>
        </w:rPr>
        <w:t>graine. L’embryon est tout d'abord entouré par un tissu de réserves nutritives plus ou moins important selon les espèces. L'origine de ce tissu est variable. Chez les</w:t>
      </w:r>
      <w:r w:rsidRPr="00EA6A92">
        <w:rPr>
          <w:rStyle w:val="apple-converted-space"/>
          <w:color w:val="000000" w:themeColor="text1"/>
        </w:rPr>
        <w:t> </w:t>
      </w:r>
      <w:hyperlink r:id="rId13" w:tooltip="Gymnospermes" w:history="1">
        <w:r w:rsidRPr="00EA6A92">
          <w:rPr>
            <w:rStyle w:val="Lienhypertexte"/>
            <w:color w:val="000000" w:themeColor="text1"/>
          </w:rPr>
          <w:t>gymnospermes</w:t>
        </w:r>
      </w:hyperlink>
      <w:r w:rsidRPr="00EA6A92">
        <w:rPr>
          <w:color w:val="000000" w:themeColor="text1"/>
        </w:rPr>
        <w:t>, il s'agit de l'</w:t>
      </w:r>
      <w:hyperlink r:id="rId14" w:tooltip="Endosperme" w:history="1">
        <w:r w:rsidRPr="00EA6A92">
          <w:rPr>
            <w:rStyle w:val="Lienhypertexte"/>
            <w:color w:val="000000" w:themeColor="text1"/>
          </w:rPr>
          <w:t>endosperme</w:t>
        </w:r>
      </w:hyperlink>
      <w:r w:rsidRPr="00EA6A92">
        <w:rPr>
          <w:color w:val="000000" w:themeColor="text1"/>
        </w:rPr>
        <w:t>, tissu</w:t>
      </w:r>
      <w:r w:rsidRPr="00EA6A92">
        <w:rPr>
          <w:rStyle w:val="apple-converted-space"/>
          <w:color w:val="000000" w:themeColor="text1"/>
        </w:rPr>
        <w:t> </w:t>
      </w:r>
      <w:hyperlink r:id="rId15" w:tooltip="Haploïde" w:history="1">
        <w:r w:rsidRPr="00EA6A92">
          <w:rPr>
            <w:rStyle w:val="Lienhypertexte"/>
            <w:color w:val="000000" w:themeColor="text1"/>
          </w:rPr>
          <w:t>haploïde</w:t>
        </w:r>
      </w:hyperlink>
      <w:r w:rsidRPr="00EA6A92">
        <w:rPr>
          <w:rStyle w:val="apple-converted-space"/>
          <w:color w:val="000000" w:themeColor="text1"/>
        </w:rPr>
        <w:t> </w:t>
      </w:r>
      <w:r w:rsidRPr="00EA6A92">
        <w:rPr>
          <w:color w:val="000000" w:themeColor="text1"/>
        </w:rPr>
        <w:t>(possédant</w:t>
      </w:r>
      <w:r w:rsidRPr="00EA6A92">
        <w:rPr>
          <w:rStyle w:val="apple-converted-space"/>
          <w:color w:val="000000" w:themeColor="text1"/>
        </w:rPr>
        <w:t> </w:t>
      </w:r>
      <w:proofErr w:type="spellStart"/>
      <w:r w:rsidRPr="00EA6A92">
        <w:rPr>
          <w:i/>
          <w:iCs/>
          <w:color w:val="000000" w:themeColor="text1"/>
        </w:rPr>
        <w:t>n</w:t>
      </w:r>
      <w:r w:rsidRPr="00EA6A92">
        <w:rPr>
          <w:color w:val="000000" w:themeColor="text1"/>
        </w:rPr>
        <w:t>chromosomes</w:t>
      </w:r>
      <w:proofErr w:type="spellEnd"/>
      <w:r w:rsidRPr="00EA6A92">
        <w:rPr>
          <w:color w:val="000000" w:themeColor="text1"/>
        </w:rPr>
        <w:t>) provenant de la différenciation du gamétophyte femelle. Chez les</w:t>
      </w:r>
      <w:r w:rsidRPr="00EA6A92">
        <w:rPr>
          <w:rStyle w:val="apple-converted-space"/>
          <w:color w:val="000000" w:themeColor="text1"/>
        </w:rPr>
        <w:t> </w:t>
      </w:r>
      <w:hyperlink r:id="rId16" w:tooltip="Angiospermes" w:history="1">
        <w:r w:rsidRPr="00EA6A92">
          <w:rPr>
            <w:rStyle w:val="Lienhypertexte"/>
            <w:color w:val="000000" w:themeColor="text1"/>
          </w:rPr>
          <w:t>angiospermes</w:t>
        </w:r>
      </w:hyperlink>
      <w:r w:rsidRPr="00EA6A92">
        <w:rPr>
          <w:color w:val="000000" w:themeColor="text1"/>
        </w:rPr>
        <w:t>, les réserves sont stockées soit dans l'</w:t>
      </w:r>
      <w:hyperlink r:id="rId17" w:tooltip="Albumen" w:history="1">
        <w:r w:rsidRPr="00EA6A92">
          <w:rPr>
            <w:rStyle w:val="Lienhypertexte"/>
            <w:color w:val="000000" w:themeColor="text1"/>
          </w:rPr>
          <w:t>albumen</w:t>
        </w:r>
      </w:hyperlink>
      <w:r w:rsidRPr="00EA6A92">
        <w:rPr>
          <w:color w:val="000000" w:themeColor="text1"/>
        </w:rPr>
        <w:t>, tissu</w:t>
      </w:r>
      <w:r w:rsidRPr="00EA6A92">
        <w:rPr>
          <w:rStyle w:val="apple-converted-space"/>
          <w:color w:val="000000" w:themeColor="text1"/>
        </w:rPr>
        <w:t> </w:t>
      </w:r>
      <w:hyperlink r:id="rId18" w:tooltip="Triploïde" w:history="1">
        <w:r w:rsidRPr="00EA6A92">
          <w:rPr>
            <w:rStyle w:val="Lienhypertexte"/>
            <w:color w:val="000000" w:themeColor="text1"/>
          </w:rPr>
          <w:t>triploïde</w:t>
        </w:r>
      </w:hyperlink>
      <w:r w:rsidRPr="00EA6A92">
        <w:rPr>
          <w:rStyle w:val="apple-converted-space"/>
          <w:color w:val="000000" w:themeColor="text1"/>
        </w:rPr>
        <w:t> </w:t>
      </w:r>
      <w:r w:rsidRPr="00EA6A92">
        <w:rPr>
          <w:color w:val="000000" w:themeColor="text1"/>
        </w:rPr>
        <w:t>(possédant</w:t>
      </w:r>
      <w:r w:rsidRPr="00EA6A92">
        <w:rPr>
          <w:rStyle w:val="apple-converted-space"/>
          <w:color w:val="000000" w:themeColor="text1"/>
        </w:rPr>
        <w:t> </w:t>
      </w:r>
      <w:r w:rsidRPr="00EA6A92">
        <w:rPr>
          <w:i/>
          <w:iCs/>
          <w:color w:val="000000" w:themeColor="text1"/>
        </w:rPr>
        <w:t>3n</w:t>
      </w:r>
      <w:r w:rsidRPr="00EA6A92">
        <w:rPr>
          <w:rStyle w:val="apple-converted-space"/>
          <w:color w:val="000000" w:themeColor="text1"/>
        </w:rPr>
        <w:t> </w:t>
      </w:r>
      <w:r w:rsidRPr="00EA6A92">
        <w:rPr>
          <w:color w:val="000000" w:themeColor="text1"/>
        </w:rPr>
        <w:t>chromosomes) provenant de la fusion des deux noyaux polaires du sac embryonnaire et de l'un des deux</w:t>
      </w:r>
      <w:r w:rsidRPr="00EA6A92">
        <w:rPr>
          <w:rStyle w:val="apple-converted-space"/>
          <w:color w:val="000000" w:themeColor="text1"/>
        </w:rPr>
        <w:t> </w:t>
      </w:r>
      <w:hyperlink r:id="rId19" w:tooltip="Anthérozoïde" w:history="1">
        <w:r w:rsidRPr="00EA6A92">
          <w:rPr>
            <w:rStyle w:val="Lienhypertexte"/>
            <w:color w:val="000000" w:themeColor="text1"/>
          </w:rPr>
          <w:t>spermatozoïdes</w:t>
        </w:r>
      </w:hyperlink>
      <w:r w:rsidRPr="00EA6A92">
        <w:rPr>
          <w:rStyle w:val="apple-converted-space"/>
          <w:color w:val="000000" w:themeColor="text1"/>
        </w:rPr>
        <w:t> </w:t>
      </w:r>
      <w:r w:rsidRPr="00EA6A92">
        <w:rPr>
          <w:color w:val="000000" w:themeColor="text1"/>
        </w:rPr>
        <w:t>du grain de</w:t>
      </w:r>
      <w:r w:rsidRPr="00EA6A92">
        <w:rPr>
          <w:rStyle w:val="apple-converted-space"/>
          <w:color w:val="000000" w:themeColor="text1"/>
        </w:rPr>
        <w:t> </w:t>
      </w:r>
      <w:hyperlink r:id="rId20" w:tooltip="Pollen" w:history="1">
        <w:r w:rsidRPr="00EA6A92">
          <w:rPr>
            <w:rStyle w:val="Lienhypertexte"/>
            <w:color w:val="000000" w:themeColor="text1"/>
          </w:rPr>
          <w:t>pollen</w:t>
        </w:r>
      </w:hyperlink>
      <w:r w:rsidRPr="00EA6A92">
        <w:rPr>
          <w:color w:val="000000" w:themeColor="text1"/>
        </w:rPr>
        <w:t>, soit dans le</w:t>
      </w:r>
      <w:r w:rsidRPr="00EA6A92">
        <w:rPr>
          <w:rStyle w:val="apple-converted-space"/>
          <w:color w:val="000000" w:themeColor="text1"/>
        </w:rPr>
        <w:t> </w:t>
      </w:r>
      <w:hyperlink r:id="rId21" w:tooltip="Endoderme" w:history="1">
        <w:r w:rsidRPr="00EA6A92">
          <w:rPr>
            <w:rStyle w:val="Lienhypertexte"/>
            <w:color w:val="000000" w:themeColor="text1"/>
          </w:rPr>
          <w:t>périsperme</w:t>
        </w:r>
      </w:hyperlink>
      <w:r w:rsidRPr="00EA6A92">
        <w:rPr>
          <w:color w:val="000000" w:themeColor="text1"/>
        </w:rPr>
        <w:t>, tissu</w:t>
      </w:r>
      <w:r w:rsidRPr="00EA6A92">
        <w:rPr>
          <w:rStyle w:val="apple-converted-space"/>
          <w:color w:val="000000" w:themeColor="text1"/>
        </w:rPr>
        <w:t> </w:t>
      </w:r>
      <w:hyperlink r:id="rId22" w:tooltip="Diploïde" w:history="1">
        <w:r w:rsidRPr="00EA6A92">
          <w:rPr>
            <w:rStyle w:val="Lienhypertexte"/>
            <w:color w:val="000000" w:themeColor="text1"/>
          </w:rPr>
          <w:t>diploïde</w:t>
        </w:r>
      </w:hyperlink>
      <w:r w:rsidRPr="00EA6A92">
        <w:rPr>
          <w:rStyle w:val="apple-converted-space"/>
          <w:color w:val="000000" w:themeColor="text1"/>
        </w:rPr>
        <w:t> </w:t>
      </w:r>
      <w:r w:rsidRPr="00EA6A92">
        <w:rPr>
          <w:color w:val="000000" w:themeColor="text1"/>
        </w:rPr>
        <w:t>(possédant</w:t>
      </w:r>
      <w:r w:rsidRPr="00EA6A92">
        <w:rPr>
          <w:rStyle w:val="apple-converted-space"/>
          <w:color w:val="000000" w:themeColor="text1"/>
        </w:rPr>
        <w:t> </w:t>
      </w:r>
      <w:r w:rsidRPr="00EA6A92">
        <w:rPr>
          <w:i/>
          <w:iCs/>
          <w:color w:val="000000" w:themeColor="text1"/>
        </w:rPr>
        <w:t>2n</w:t>
      </w:r>
      <w:r w:rsidRPr="00EA6A92">
        <w:rPr>
          <w:color w:val="000000" w:themeColor="text1"/>
        </w:rPr>
        <w:t>chromosomes) provenant du</w:t>
      </w:r>
      <w:r w:rsidRPr="00EA6A92">
        <w:rPr>
          <w:rStyle w:val="apple-converted-space"/>
          <w:color w:val="000000" w:themeColor="text1"/>
        </w:rPr>
        <w:t> </w:t>
      </w:r>
      <w:hyperlink r:id="rId23" w:tooltip="Nucelle" w:history="1">
        <w:r w:rsidRPr="00EA6A92">
          <w:rPr>
            <w:rStyle w:val="Lienhypertexte"/>
            <w:color w:val="000000" w:themeColor="text1"/>
          </w:rPr>
          <w:t>nucelle</w:t>
        </w:r>
      </w:hyperlink>
      <w:r w:rsidRPr="00EA6A92">
        <w:rPr>
          <w:rStyle w:val="apple-converted-space"/>
          <w:color w:val="000000" w:themeColor="text1"/>
        </w:rPr>
        <w:t> </w:t>
      </w:r>
      <w:r w:rsidRPr="00EA6A92">
        <w:rPr>
          <w:color w:val="000000" w:themeColor="text1"/>
        </w:rPr>
        <w:t xml:space="preserve">entourant le sac embryonnaire. Les graines à périsperme sont peu courantes (les graines </w:t>
      </w:r>
      <w:proofErr w:type="spellStart"/>
      <w:r w:rsidRPr="00EA6A92">
        <w:rPr>
          <w:color w:val="000000" w:themeColor="text1"/>
        </w:rPr>
        <w:t>des</w:t>
      </w:r>
      <w:hyperlink r:id="rId24" w:tooltip="Chénopodiacées" w:history="1">
        <w:r w:rsidRPr="00EA6A92">
          <w:rPr>
            <w:rStyle w:val="Lienhypertexte"/>
            <w:color w:val="000000" w:themeColor="text1"/>
          </w:rPr>
          <w:t>Chénopodiacées</w:t>
        </w:r>
        <w:proofErr w:type="spellEnd"/>
      </w:hyperlink>
      <w:r w:rsidRPr="00EA6A92">
        <w:rPr>
          <w:rStyle w:val="apple-converted-space"/>
          <w:color w:val="000000" w:themeColor="text1"/>
        </w:rPr>
        <w:t> </w:t>
      </w:r>
      <w:r w:rsidRPr="00EA6A92">
        <w:rPr>
          <w:color w:val="000000" w:themeColor="text1"/>
        </w:rPr>
        <w:t>par exemple).</w:t>
      </w:r>
    </w:p>
    <w:p w:rsidR="00E60899" w:rsidRPr="00EA6A92" w:rsidRDefault="00E60899" w:rsidP="00E60899">
      <w:pPr>
        <w:pStyle w:val="NormalWeb"/>
        <w:shd w:val="clear" w:color="auto" w:fill="FFFFFF"/>
        <w:spacing w:before="120" w:beforeAutospacing="0" w:after="120" w:afterAutospacing="0"/>
        <w:rPr>
          <w:color w:val="000000" w:themeColor="text1"/>
        </w:rPr>
      </w:pPr>
      <w:r w:rsidRPr="00EA6A92">
        <w:rPr>
          <w:color w:val="000000" w:themeColor="text1"/>
        </w:rPr>
        <w:lastRenderedPageBreak/>
        <w:t>L'albumen peut être plus ou moins développé dans la graine. Il peut contenir toutes les réserves nutritives, qui seront utilisées par l'embryon lors de la germination. Les graines de ce type sont dites « albuminées ». Au contraire, dans les graines dites « </w:t>
      </w:r>
      <w:proofErr w:type="spellStart"/>
      <w:r w:rsidRPr="00EA6A92">
        <w:rPr>
          <w:color w:val="000000" w:themeColor="text1"/>
        </w:rPr>
        <w:t>exalbuminées</w:t>
      </w:r>
      <w:proofErr w:type="spellEnd"/>
      <w:r w:rsidRPr="00EA6A92">
        <w:rPr>
          <w:color w:val="000000" w:themeColor="text1"/>
        </w:rPr>
        <w:t> », les réserves sont stockées directement dans les</w:t>
      </w:r>
      <w:r w:rsidRPr="00EA6A92">
        <w:rPr>
          <w:rStyle w:val="apple-converted-space"/>
          <w:color w:val="000000" w:themeColor="text1"/>
        </w:rPr>
        <w:t> </w:t>
      </w:r>
      <w:hyperlink r:id="rId25" w:tooltip="Cotylédon" w:history="1">
        <w:r w:rsidRPr="00EA6A92">
          <w:rPr>
            <w:rStyle w:val="Lienhypertexte"/>
            <w:color w:val="000000" w:themeColor="text1"/>
          </w:rPr>
          <w:t>cotylédons</w:t>
        </w:r>
      </w:hyperlink>
      <w:r w:rsidRPr="00EA6A92">
        <w:rPr>
          <w:color w:val="000000" w:themeColor="text1"/>
        </w:rPr>
        <w:t>, l'albumen étant alors très réduit.</w:t>
      </w:r>
    </w:p>
    <w:p w:rsidR="00E60899" w:rsidRPr="00EA6A92" w:rsidRDefault="00E60899" w:rsidP="00E60899">
      <w:pPr>
        <w:pStyle w:val="NormalWeb"/>
        <w:shd w:val="clear" w:color="auto" w:fill="FFFFFF"/>
        <w:spacing w:before="120" w:beforeAutospacing="0" w:after="120" w:afterAutospacing="0"/>
        <w:rPr>
          <w:color w:val="000000" w:themeColor="text1"/>
        </w:rPr>
      </w:pPr>
      <w:r w:rsidRPr="00EA6A92">
        <w:rPr>
          <w:color w:val="000000" w:themeColor="text1"/>
        </w:rPr>
        <w:t>Autour des tissus de réserves se trouve le tégument qui constitue le tissu protecteur principal. Il est constitué d’une couche de plusieurs cellules et entoure complètement l'embryon et ses réserves. Il n’est ouvert que par un petit orifice, le</w:t>
      </w:r>
      <w:r w:rsidRPr="00EA6A92">
        <w:rPr>
          <w:rStyle w:val="apple-converted-space"/>
          <w:color w:val="000000" w:themeColor="text1"/>
        </w:rPr>
        <w:t> </w:t>
      </w:r>
      <w:hyperlink r:id="rId26" w:tooltip="Micropyle" w:history="1">
        <w:r w:rsidRPr="00EA6A92">
          <w:rPr>
            <w:rStyle w:val="Lienhypertexte"/>
            <w:color w:val="000000" w:themeColor="text1"/>
          </w:rPr>
          <w:t>micropyle</w:t>
        </w:r>
      </w:hyperlink>
      <w:r w:rsidRPr="00EA6A92">
        <w:rPr>
          <w:color w:val="000000" w:themeColor="text1"/>
        </w:rPr>
        <w:t>, par où est rentré le</w:t>
      </w:r>
      <w:r w:rsidRPr="00EA6A92">
        <w:rPr>
          <w:rStyle w:val="apple-converted-space"/>
          <w:color w:val="000000" w:themeColor="text1"/>
        </w:rPr>
        <w:t> </w:t>
      </w:r>
      <w:hyperlink r:id="rId27" w:tooltip="Tube pollinique" w:history="1">
        <w:r w:rsidRPr="00EA6A92">
          <w:rPr>
            <w:rStyle w:val="Lienhypertexte"/>
            <w:color w:val="000000" w:themeColor="text1"/>
          </w:rPr>
          <w:t>tube pollinique</w:t>
        </w:r>
      </w:hyperlink>
      <w:r w:rsidRPr="00EA6A92">
        <w:rPr>
          <w:rStyle w:val="apple-converted-space"/>
          <w:color w:val="000000" w:themeColor="text1"/>
        </w:rPr>
        <w:t> </w:t>
      </w:r>
      <w:r w:rsidRPr="00EA6A92">
        <w:rPr>
          <w:color w:val="000000" w:themeColor="text1"/>
        </w:rPr>
        <w:t>pour permettre la fécondation, lors de la</w:t>
      </w:r>
      <w:r w:rsidRPr="00EA6A92">
        <w:rPr>
          <w:rStyle w:val="apple-converted-space"/>
          <w:color w:val="000000" w:themeColor="text1"/>
        </w:rPr>
        <w:t> </w:t>
      </w:r>
      <w:hyperlink r:id="rId28" w:tooltip="Pollinisation" w:history="1">
        <w:r w:rsidRPr="00EA6A92">
          <w:rPr>
            <w:rStyle w:val="Lienhypertexte"/>
            <w:color w:val="000000" w:themeColor="text1"/>
          </w:rPr>
          <w:t>pollinisation</w:t>
        </w:r>
      </w:hyperlink>
      <w:r w:rsidRPr="00EA6A92">
        <w:rPr>
          <w:color w:val="000000" w:themeColor="text1"/>
        </w:rPr>
        <w:t>.</w:t>
      </w:r>
    </w:p>
    <w:p w:rsidR="00B35352" w:rsidRDefault="00E60899" w:rsidP="0034623C">
      <w:pPr>
        <w:pStyle w:val="NormalWeb"/>
        <w:shd w:val="clear" w:color="auto" w:fill="FFFFFF"/>
        <w:spacing w:before="120" w:beforeAutospacing="0" w:after="120" w:afterAutospacing="0"/>
        <w:rPr>
          <w:color w:val="000000" w:themeColor="text1"/>
        </w:rPr>
      </w:pPr>
      <w:r w:rsidRPr="00EA6A92">
        <w:rPr>
          <w:color w:val="000000" w:themeColor="text1"/>
        </w:rPr>
        <w:t>L'embryon, quant à lui, peut être minuscule et constitué de quelques cellules seulement, ou déjà avec une</w:t>
      </w:r>
      <w:r w:rsidRPr="00EA6A92">
        <w:rPr>
          <w:rStyle w:val="apple-converted-space"/>
          <w:color w:val="000000" w:themeColor="text1"/>
        </w:rPr>
        <w:t> </w:t>
      </w:r>
      <w:hyperlink r:id="rId29" w:tooltip="Gemmule" w:history="1">
        <w:r w:rsidRPr="00EA6A92">
          <w:rPr>
            <w:rStyle w:val="Lienhypertexte"/>
            <w:color w:val="000000" w:themeColor="text1"/>
          </w:rPr>
          <w:t>gemmule</w:t>
        </w:r>
      </w:hyperlink>
      <w:r w:rsidRPr="00EA6A92">
        <w:rPr>
          <w:rStyle w:val="apple-converted-space"/>
          <w:color w:val="000000" w:themeColor="text1"/>
        </w:rPr>
        <w:t> </w:t>
      </w:r>
      <w:r w:rsidRPr="00EA6A92">
        <w:rPr>
          <w:color w:val="000000" w:themeColor="text1"/>
        </w:rPr>
        <w:t>développée en</w:t>
      </w:r>
      <w:r w:rsidR="0034623C">
        <w:rPr>
          <w:color w:val="000000" w:themeColor="text1"/>
        </w:rPr>
        <w:t xml:space="preserve"> </w:t>
      </w:r>
      <w:hyperlink r:id="rId30" w:tooltip="Tigelle" w:history="1">
        <w:r w:rsidRPr="00EA6A92">
          <w:rPr>
            <w:rStyle w:val="Lienhypertexte"/>
            <w:color w:val="000000" w:themeColor="text1"/>
          </w:rPr>
          <w:t>tigelle</w:t>
        </w:r>
      </w:hyperlink>
      <w:r w:rsidRPr="00EA6A92">
        <w:rPr>
          <w:color w:val="000000" w:themeColor="text1"/>
        </w:rPr>
        <w:t>,</w:t>
      </w:r>
      <w:r w:rsidRPr="00EA6A92">
        <w:rPr>
          <w:rStyle w:val="apple-converted-space"/>
          <w:color w:val="000000" w:themeColor="text1"/>
        </w:rPr>
        <w:t> </w:t>
      </w:r>
      <w:hyperlink r:id="rId31" w:tooltip="Radicule" w:history="1">
        <w:r w:rsidRPr="00EA6A92">
          <w:rPr>
            <w:rStyle w:val="Lienhypertexte"/>
            <w:color w:val="000000" w:themeColor="text1"/>
          </w:rPr>
          <w:t>radicule</w:t>
        </w:r>
      </w:hyperlink>
      <w:r w:rsidRPr="00EA6A92">
        <w:rPr>
          <w:rStyle w:val="apple-converted-space"/>
          <w:color w:val="000000" w:themeColor="text1"/>
        </w:rPr>
        <w:t> </w:t>
      </w:r>
      <w:r w:rsidRPr="00EA6A92">
        <w:rPr>
          <w:color w:val="000000" w:themeColor="text1"/>
        </w:rPr>
        <w:t>et</w:t>
      </w:r>
      <w:r w:rsidRPr="00EA6A92">
        <w:rPr>
          <w:rStyle w:val="apple-converted-space"/>
          <w:color w:val="000000" w:themeColor="text1"/>
        </w:rPr>
        <w:t> </w:t>
      </w:r>
      <w:hyperlink r:id="rId32" w:tooltip="Cotylédon" w:history="1">
        <w:r w:rsidRPr="00EA6A92">
          <w:rPr>
            <w:rStyle w:val="Lienhypertexte"/>
            <w:color w:val="000000" w:themeColor="text1"/>
          </w:rPr>
          <w:t>cotylédons</w:t>
        </w:r>
      </w:hyperlink>
      <w:r w:rsidRPr="00EA6A92">
        <w:rPr>
          <w:color w:val="000000" w:themeColor="text1"/>
        </w:rPr>
        <w:t xml:space="preserve">. </w:t>
      </w:r>
    </w:p>
    <w:p w:rsidR="00B35352" w:rsidRDefault="00B35352" w:rsidP="00B35352">
      <w:pPr>
        <w:pStyle w:val="NormalWeb"/>
        <w:shd w:val="clear" w:color="auto" w:fill="FFFFFF"/>
        <w:spacing w:before="120" w:beforeAutospacing="0" w:after="120" w:afterAutospacing="0"/>
        <w:rPr>
          <w:color w:val="000000" w:themeColor="text1"/>
        </w:rPr>
      </w:pPr>
    </w:p>
    <w:p w:rsidR="00B35352" w:rsidRPr="009F6491" w:rsidRDefault="00B35352" w:rsidP="00B3535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Arial" w:eastAsia="Times New Roman" w:hAnsi="Arial" w:cs="Arial"/>
          <w:noProof/>
          <w:color w:val="0B0080"/>
          <w:sz w:val="25"/>
          <w:szCs w:val="25"/>
          <w:lang w:eastAsia="fr-FR"/>
        </w:rPr>
        <w:drawing>
          <wp:inline distT="0" distB="0" distL="0" distR="0">
            <wp:extent cx="1215534" cy="2106777"/>
            <wp:effectExtent l="19050" t="0" r="3666" b="0"/>
            <wp:docPr id="5" name="Image 1" descr="https://upload.wikimedia.org/wikipedia/commons/thumb/4/4f/Budowa_nasienia-dwuliscienne.png/220px-Budowa_nasienia-dwuliscienne.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f/Budowa_nasienia-dwuliscienne.png/220px-Budowa_nasienia-dwuliscienne.png">
                      <a:hlinkClick r:id="rId33"/>
                    </pic:cNvPr>
                    <pic:cNvPicPr>
                      <a:picLocks noChangeAspect="1" noChangeArrowheads="1"/>
                    </pic:cNvPicPr>
                  </pic:nvPicPr>
                  <pic:blipFill>
                    <a:blip r:embed="rId34" cstate="print"/>
                    <a:srcRect/>
                    <a:stretch>
                      <a:fillRect/>
                    </a:stretch>
                  </pic:blipFill>
                  <pic:spPr bwMode="auto">
                    <a:xfrm>
                      <a:off x="0" y="0"/>
                      <a:ext cx="1216217" cy="2107961"/>
                    </a:xfrm>
                    <a:prstGeom prst="rect">
                      <a:avLst/>
                    </a:prstGeom>
                    <a:noFill/>
                    <a:ln w="9525">
                      <a:noFill/>
                      <a:miter lim="800000"/>
                      <a:headEnd/>
                      <a:tailEnd/>
                    </a:ln>
                  </pic:spPr>
                </pic:pic>
              </a:graphicData>
            </a:graphic>
          </wp:inline>
        </w:drawing>
      </w:r>
    </w:p>
    <w:p w:rsidR="00B35352" w:rsidRDefault="00B35352" w:rsidP="00B35352">
      <w:pPr>
        <w:spacing w:after="0" w:line="336" w:lineRule="atLeast"/>
      </w:pPr>
      <w:r>
        <w:rPr>
          <w:rFonts w:ascii="Times New Roman" w:eastAsia="Times New Roman" w:hAnsi="Times New Roman" w:cs="Times New Roman"/>
          <w:color w:val="000000" w:themeColor="text1"/>
          <w:sz w:val="24"/>
          <w:szCs w:val="24"/>
          <w:lang w:eastAsia="fr-FR"/>
        </w:rPr>
        <w:t xml:space="preserve">           </w:t>
      </w:r>
      <w:proofErr w:type="spellStart"/>
      <w:r w:rsidR="0034623C">
        <w:rPr>
          <w:rFonts w:ascii="Times New Roman" w:eastAsia="Times New Roman" w:hAnsi="Times New Roman" w:cs="Times New Roman"/>
          <w:color w:val="000000" w:themeColor="text1"/>
          <w:sz w:val="24"/>
          <w:szCs w:val="24"/>
          <w:lang w:eastAsia="fr-FR"/>
        </w:rPr>
        <w:t>Fig</w:t>
      </w:r>
      <w:proofErr w:type="spellEnd"/>
      <w:r w:rsidR="0034623C">
        <w:rPr>
          <w:rFonts w:ascii="Times New Roman" w:eastAsia="Times New Roman" w:hAnsi="Times New Roman" w:cs="Times New Roman"/>
          <w:color w:val="000000" w:themeColor="text1"/>
          <w:sz w:val="24"/>
          <w:szCs w:val="24"/>
          <w:lang w:eastAsia="fr-FR"/>
        </w:rPr>
        <w:t xml:space="preserve"> 2 :</w:t>
      </w:r>
      <w:r>
        <w:rPr>
          <w:rFonts w:ascii="Times New Roman" w:eastAsia="Times New Roman" w:hAnsi="Times New Roman" w:cs="Times New Roman"/>
          <w:color w:val="000000" w:themeColor="text1"/>
          <w:sz w:val="24"/>
          <w:szCs w:val="24"/>
          <w:lang w:eastAsia="fr-FR"/>
        </w:rPr>
        <w:t xml:space="preserve"> </w:t>
      </w:r>
      <w:r w:rsidRPr="009F6491">
        <w:rPr>
          <w:rFonts w:ascii="Times New Roman" w:eastAsia="Times New Roman" w:hAnsi="Times New Roman" w:cs="Times New Roman"/>
          <w:color w:val="000000" w:themeColor="text1"/>
          <w:sz w:val="24"/>
          <w:szCs w:val="24"/>
          <w:lang w:eastAsia="fr-FR"/>
        </w:rPr>
        <w:t>Structure schématique d'une graine d'</w:t>
      </w:r>
      <w:hyperlink r:id="rId35" w:tooltip="Angiosperme" w:history="1">
        <w:r w:rsidRPr="009F6491">
          <w:rPr>
            <w:rFonts w:ascii="Times New Roman" w:eastAsia="Times New Roman" w:hAnsi="Times New Roman" w:cs="Times New Roman"/>
            <w:color w:val="000000" w:themeColor="text1"/>
            <w:sz w:val="24"/>
            <w:szCs w:val="24"/>
            <w:lang w:eastAsia="fr-FR"/>
          </w:rPr>
          <w:t>Angiosperme</w:t>
        </w:r>
      </w:hyperlink>
      <w:r w:rsidRPr="009F6491">
        <w:rPr>
          <w:rFonts w:ascii="Times New Roman" w:eastAsia="Times New Roman" w:hAnsi="Times New Roman" w:cs="Times New Roman"/>
          <w:color w:val="000000" w:themeColor="text1"/>
          <w:sz w:val="24"/>
          <w:szCs w:val="24"/>
          <w:lang w:eastAsia="fr-FR"/>
        </w:rPr>
        <w:t> </w:t>
      </w:r>
      <w:hyperlink r:id="rId36" w:tooltip="Dicotylédone" w:history="1">
        <w:r w:rsidRPr="009F6491">
          <w:rPr>
            <w:rFonts w:ascii="Times New Roman" w:eastAsia="Times New Roman" w:hAnsi="Times New Roman" w:cs="Times New Roman"/>
            <w:color w:val="000000" w:themeColor="text1"/>
            <w:sz w:val="24"/>
            <w:szCs w:val="24"/>
            <w:lang w:eastAsia="fr-FR"/>
          </w:rPr>
          <w:t>Dicotylédone</w:t>
        </w:r>
      </w:hyperlink>
      <w:r w:rsidRPr="009F6491">
        <w:rPr>
          <w:rFonts w:ascii="Times New Roman" w:eastAsia="Times New Roman" w:hAnsi="Times New Roman" w:cs="Times New Roman"/>
          <w:color w:val="000000" w:themeColor="text1"/>
          <w:sz w:val="24"/>
          <w:szCs w:val="24"/>
          <w:lang w:eastAsia="fr-FR"/>
        </w:rPr>
        <w:t>.</w:t>
      </w:r>
      <w:r w:rsidRPr="009F6491">
        <w:rPr>
          <w:rFonts w:ascii="Times New Roman" w:eastAsia="Times New Roman" w:hAnsi="Times New Roman" w:cs="Times New Roman"/>
          <w:color w:val="000000" w:themeColor="text1"/>
          <w:sz w:val="24"/>
          <w:szCs w:val="24"/>
          <w:lang w:eastAsia="fr-FR"/>
        </w:rPr>
        <w:br/>
      </w:r>
      <w:r>
        <w:rPr>
          <w:rFonts w:ascii="Times New Roman" w:eastAsia="Times New Roman" w:hAnsi="Times New Roman" w:cs="Times New Roman"/>
          <w:color w:val="000000" w:themeColor="text1"/>
          <w:sz w:val="24"/>
          <w:szCs w:val="24"/>
          <w:lang w:eastAsia="fr-FR"/>
        </w:rPr>
        <w:t xml:space="preserve">                   </w:t>
      </w:r>
      <w:r w:rsidRPr="009F6491">
        <w:rPr>
          <w:rFonts w:ascii="Times New Roman" w:eastAsia="Times New Roman" w:hAnsi="Times New Roman" w:cs="Times New Roman"/>
          <w:color w:val="000000" w:themeColor="text1"/>
          <w:sz w:val="24"/>
          <w:szCs w:val="24"/>
          <w:lang w:eastAsia="fr-FR"/>
        </w:rPr>
        <w:t>a : </w:t>
      </w:r>
      <w:hyperlink r:id="rId37" w:tooltip="Tégument (botanique)" w:history="1">
        <w:r w:rsidRPr="009F6491">
          <w:rPr>
            <w:rFonts w:ascii="Times New Roman" w:eastAsia="Times New Roman" w:hAnsi="Times New Roman" w:cs="Times New Roman"/>
            <w:color w:val="000000" w:themeColor="text1"/>
            <w:sz w:val="24"/>
            <w:szCs w:val="24"/>
            <w:lang w:eastAsia="fr-FR"/>
          </w:rPr>
          <w:t>tégument</w:t>
        </w:r>
      </w:hyperlink>
      <w:r w:rsidRPr="009F6491">
        <w:rPr>
          <w:rFonts w:ascii="Times New Roman" w:eastAsia="Times New Roman" w:hAnsi="Times New Roman" w:cs="Times New Roman"/>
          <w:color w:val="000000" w:themeColor="text1"/>
          <w:sz w:val="24"/>
          <w:szCs w:val="24"/>
          <w:lang w:eastAsia="fr-FR"/>
        </w:rPr>
        <w:t> ; b : </w:t>
      </w:r>
      <w:hyperlink r:id="rId38" w:tooltip="Albumen" w:history="1">
        <w:r w:rsidRPr="009F6491">
          <w:rPr>
            <w:rFonts w:ascii="Times New Roman" w:eastAsia="Times New Roman" w:hAnsi="Times New Roman" w:cs="Times New Roman"/>
            <w:color w:val="000000" w:themeColor="text1"/>
            <w:sz w:val="24"/>
            <w:szCs w:val="24"/>
            <w:lang w:eastAsia="fr-FR"/>
          </w:rPr>
          <w:t>albumen</w:t>
        </w:r>
      </w:hyperlink>
      <w:r w:rsidRPr="009F6491">
        <w:rPr>
          <w:rFonts w:ascii="Times New Roman" w:eastAsia="Times New Roman" w:hAnsi="Times New Roman" w:cs="Times New Roman"/>
          <w:color w:val="000000" w:themeColor="text1"/>
          <w:sz w:val="24"/>
          <w:szCs w:val="24"/>
          <w:lang w:eastAsia="fr-FR"/>
        </w:rPr>
        <w:t> ; c </w:t>
      </w:r>
      <w:proofErr w:type="gramStart"/>
      <w:r w:rsidRPr="009F6491">
        <w:rPr>
          <w:rFonts w:ascii="Times New Roman" w:eastAsia="Times New Roman" w:hAnsi="Times New Roman" w:cs="Times New Roman"/>
          <w:color w:val="000000" w:themeColor="text1"/>
          <w:sz w:val="24"/>
          <w:szCs w:val="24"/>
          <w:lang w:eastAsia="fr-FR"/>
        </w:rPr>
        <w:t>:</w:t>
      </w:r>
      <w:proofErr w:type="gramEnd"/>
      <w:r w:rsidR="00C42185" w:rsidRPr="009F6491">
        <w:rPr>
          <w:rFonts w:ascii="Times New Roman" w:eastAsia="Times New Roman" w:hAnsi="Times New Roman" w:cs="Times New Roman"/>
          <w:color w:val="000000" w:themeColor="text1"/>
          <w:sz w:val="24"/>
          <w:szCs w:val="24"/>
          <w:lang w:eastAsia="fr-FR"/>
        </w:rPr>
        <w:fldChar w:fldCharType="begin"/>
      </w:r>
      <w:r w:rsidRPr="009F6491">
        <w:rPr>
          <w:rFonts w:ascii="Times New Roman" w:eastAsia="Times New Roman" w:hAnsi="Times New Roman" w:cs="Times New Roman"/>
          <w:color w:val="000000" w:themeColor="text1"/>
          <w:sz w:val="24"/>
          <w:szCs w:val="24"/>
          <w:lang w:eastAsia="fr-FR"/>
        </w:rPr>
        <w:instrText xml:space="preserve"> HYPERLINK "https://fr.wikipedia.org/wiki/Cotyl%C3%A9don" \o "Cotylédon" </w:instrText>
      </w:r>
      <w:r w:rsidR="00C42185" w:rsidRPr="009F6491">
        <w:rPr>
          <w:rFonts w:ascii="Times New Roman" w:eastAsia="Times New Roman" w:hAnsi="Times New Roman" w:cs="Times New Roman"/>
          <w:color w:val="000000" w:themeColor="text1"/>
          <w:sz w:val="24"/>
          <w:szCs w:val="24"/>
          <w:lang w:eastAsia="fr-FR"/>
        </w:rPr>
        <w:fldChar w:fldCharType="separate"/>
      </w:r>
      <w:r w:rsidRPr="009F6491">
        <w:rPr>
          <w:rFonts w:ascii="Times New Roman" w:eastAsia="Times New Roman" w:hAnsi="Times New Roman" w:cs="Times New Roman"/>
          <w:color w:val="000000" w:themeColor="text1"/>
          <w:sz w:val="24"/>
          <w:szCs w:val="24"/>
          <w:lang w:eastAsia="fr-FR"/>
        </w:rPr>
        <w:t>cotylédon</w:t>
      </w:r>
      <w:r w:rsidR="00C42185" w:rsidRPr="009F6491">
        <w:rPr>
          <w:rFonts w:ascii="Times New Roman" w:eastAsia="Times New Roman" w:hAnsi="Times New Roman" w:cs="Times New Roman"/>
          <w:color w:val="000000" w:themeColor="text1"/>
          <w:sz w:val="24"/>
          <w:szCs w:val="24"/>
          <w:lang w:eastAsia="fr-FR"/>
        </w:rPr>
        <w:fldChar w:fldCharType="end"/>
      </w:r>
      <w:r w:rsidRPr="009F6491">
        <w:rPr>
          <w:rFonts w:ascii="Times New Roman" w:eastAsia="Times New Roman" w:hAnsi="Times New Roman" w:cs="Times New Roman"/>
          <w:color w:val="000000" w:themeColor="text1"/>
          <w:sz w:val="24"/>
          <w:szCs w:val="24"/>
          <w:lang w:eastAsia="fr-FR"/>
        </w:rPr>
        <w:t> ; d : </w:t>
      </w:r>
      <w:hyperlink r:id="rId39" w:tooltip="Embryon" w:history="1">
        <w:r w:rsidRPr="009F6491">
          <w:rPr>
            <w:rFonts w:ascii="Times New Roman" w:eastAsia="Times New Roman" w:hAnsi="Times New Roman" w:cs="Times New Roman"/>
            <w:color w:val="000000" w:themeColor="text1"/>
            <w:sz w:val="24"/>
            <w:szCs w:val="24"/>
            <w:lang w:eastAsia="fr-FR"/>
          </w:rPr>
          <w:t>embryon</w:t>
        </w:r>
      </w:hyperlink>
    </w:p>
    <w:p w:rsidR="00B35352" w:rsidRDefault="00B35352" w:rsidP="00B35352">
      <w:pPr>
        <w:spacing w:after="0" w:line="336" w:lineRule="atLeast"/>
        <w:rPr>
          <w:rFonts w:ascii="Times New Roman" w:eastAsia="Times New Roman" w:hAnsi="Times New Roman" w:cs="Times New Roman"/>
          <w:color w:val="000000" w:themeColor="text1"/>
          <w:sz w:val="24"/>
          <w:szCs w:val="24"/>
          <w:lang w:eastAsia="fr-FR"/>
        </w:rPr>
      </w:pPr>
    </w:p>
    <w:p w:rsidR="000228F8" w:rsidRDefault="000228F8" w:rsidP="00617278">
      <w:pPr>
        <w:rPr>
          <w:rFonts w:asciiTheme="majorBidi" w:hAnsiTheme="majorBidi" w:cstheme="majorBidi"/>
          <w:sz w:val="24"/>
          <w:szCs w:val="24"/>
        </w:rPr>
      </w:pPr>
    </w:p>
    <w:p w:rsidR="00A22978" w:rsidRDefault="004D14CD" w:rsidP="00617278">
      <w:pPr>
        <w:rPr>
          <w:rFonts w:asciiTheme="majorBidi" w:hAnsiTheme="majorBidi" w:cstheme="majorBidi"/>
          <w:sz w:val="24"/>
          <w:szCs w:val="24"/>
        </w:rPr>
      </w:pPr>
      <w:r>
        <w:rPr>
          <w:rFonts w:asciiTheme="majorBidi" w:hAnsiTheme="majorBidi" w:cstheme="majorBidi"/>
          <w:sz w:val="24"/>
          <w:szCs w:val="24"/>
        </w:rPr>
        <w:t>I</w:t>
      </w:r>
      <w:r w:rsidR="00570627" w:rsidRPr="0031275E">
        <w:rPr>
          <w:rFonts w:asciiTheme="majorBidi" w:hAnsiTheme="majorBidi" w:cstheme="majorBidi"/>
          <w:sz w:val="24"/>
          <w:szCs w:val="24"/>
        </w:rPr>
        <w:t>l existe des différences morphologiques</w:t>
      </w:r>
      <w:r>
        <w:rPr>
          <w:rFonts w:asciiTheme="majorBidi" w:hAnsiTheme="majorBidi" w:cstheme="majorBidi"/>
          <w:sz w:val="24"/>
          <w:szCs w:val="24"/>
        </w:rPr>
        <w:t> :</w:t>
      </w:r>
    </w:p>
    <w:p w:rsidR="008F6182" w:rsidRPr="003036B3" w:rsidRDefault="008F6182" w:rsidP="0031275E">
      <w:pPr>
        <w:ind w:left="45"/>
        <w:rPr>
          <w:rFonts w:asciiTheme="majorBidi" w:hAnsiTheme="majorBidi" w:cstheme="majorBidi"/>
          <w:sz w:val="24"/>
          <w:szCs w:val="24"/>
        </w:rPr>
      </w:pPr>
      <w:r w:rsidRPr="003036B3">
        <w:rPr>
          <w:rFonts w:ascii="Times New Roman" w:hAnsi="Times New Roman" w:cs="Times New Roman"/>
          <w:b/>
          <w:bCs/>
          <w:color w:val="000000"/>
          <w:sz w:val="24"/>
          <w:szCs w:val="24"/>
        </w:rPr>
        <w:t>Graine de Dicotylédone</w:t>
      </w:r>
    </w:p>
    <w:p w:rsidR="00570627" w:rsidRDefault="0044359E">
      <w:pPr>
        <w:rPr>
          <w:rFonts w:asciiTheme="majorBidi" w:hAnsiTheme="majorBidi" w:cstheme="majorBidi"/>
          <w:sz w:val="24"/>
          <w:szCs w:val="24"/>
        </w:rPr>
      </w:pPr>
      <w:r>
        <w:rPr>
          <w:rFonts w:asciiTheme="majorBidi" w:hAnsiTheme="majorBidi" w:cstheme="majorBidi"/>
          <w:sz w:val="24"/>
          <w:szCs w:val="24"/>
        </w:rPr>
        <w:t xml:space="preserve"> </w:t>
      </w:r>
      <w:r w:rsidR="00570627" w:rsidRPr="0031275E">
        <w:rPr>
          <w:rFonts w:asciiTheme="majorBidi" w:hAnsiTheme="majorBidi" w:cstheme="majorBidi"/>
          <w:sz w:val="24"/>
          <w:szCs w:val="24"/>
        </w:rPr>
        <w:t xml:space="preserve">        </w:t>
      </w:r>
      <w:r w:rsidR="00570627" w:rsidRPr="0031275E">
        <w:rPr>
          <w:rFonts w:asciiTheme="majorBidi" w:hAnsiTheme="majorBidi" w:cstheme="majorBidi"/>
          <w:noProof/>
          <w:sz w:val="24"/>
          <w:szCs w:val="24"/>
          <w:lang w:eastAsia="fr-FR"/>
        </w:rPr>
        <w:drawing>
          <wp:inline distT="0" distB="0" distL="0" distR="0">
            <wp:extent cx="2125558" cy="1152525"/>
            <wp:effectExtent l="19050" t="0" r="804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125558" cy="1152525"/>
                    </a:xfrm>
                    <a:prstGeom prst="rect">
                      <a:avLst/>
                    </a:prstGeom>
                    <a:noFill/>
                    <a:ln w="9525">
                      <a:noFill/>
                      <a:miter lim="800000"/>
                      <a:headEnd/>
                      <a:tailEnd/>
                    </a:ln>
                  </pic:spPr>
                </pic:pic>
              </a:graphicData>
            </a:graphic>
          </wp:inline>
        </w:drawing>
      </w:r>
      <w:r w:rsidR="008F6182">
        <w:rPr>
          <w:rFonts w:asciiTheme="majorBidi" w:hAnsiTheme="majorBidi" w:cstheme="majorBidi"/>
          <w:noProof/>
          <w:sz w:val="24"/>
          <w:szCs w:val="24"/>
          <w:lang w:eastAsia="fr-FR"/>
        </w:rPr>
        <w:drawing>
          <wp:inline distT="0" distB="0" distL="0" distR="0">
            <wp:extent cx="1999531" cy="1293962"/>
            <wp:effectExtent l="19050" t="0" r="719"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2001753" cy="1295400"/>
                    </a:xfrm>
                    <a:prstGeom prst="rect">
                      <a:avLst/>
                    </a:prstGeom>
                    <a:noFill/>
                    <a:ln w="9525">
                      <a:noFill/>
                      <a:miter lim="800000"/>
                      <a:headEnd/>
                      <a:tailEnd/>
                    </a:ln>
                  </pic:spPr>
                </pic:pic>
              </a:graphicData>
            </a:graphic>
          </wp:inline>
        </w:drawing>
      </w:r>
    </w:p>
    <w:p w:rsidR="00217F72" w:rsidRDefault="002F153E" w:rsidP="00217F72">
      <w:pPr>
        <w:rPr>
          <w:rFonts w:asciiTheme="majorBidi" w:hAnsiTheme="majorBidi" w:cstheme="majorBidi"/>
          <w:noProof/>
          <w:sz w:val="24"/>
          <w:szCs w:val="24"/>
          <w:lang w:eastAsia="fr-FR"/>
        </w:rPr>
      </w:pPr>
      <w:r>
        <w:rPr>
          <w:rFonts w:asciiTheme="majorBidi" w:hAnsiTheme="majorBidi" w:cstheme="majorBidi"/>
          <w:sz w:val="24"/>
          <w:szCs w:val="24"/>
        </w:rPr>
        <w:lastRenderedPageBreak/>
        <w:t xml:space="preserve">                                </w:t>
      </w:r>
      <w:r w:rsidR="008F6182" w:rsidRPr="008F6182">
        <w:rPr>
          <w:rFonts w:asciiTheme="majorBidi" w:hAnsiTheme="majorBidi" w:cstheme="majorBidi"/>
          <w:noProof/>
          <w:sz w:val="24"/>
          <w:szCs w:val="24"/>
          <w:lang w:eastAsia="fr-FR"/>
        </w:rPr>
        <w:drawing>
          <wp:inline distT="0" distB="0" distL="0" distR="0">
            <wp:extent cx="2570531" cy="2026310"/>
            <wp:effectExtent l="19050" t="0" r="1219" b="0"/>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2570194" cy="2026044"/>
                    </a:xfrm>
                    <a:prstGeom prst="rect">
                      <a:avLst/>
                    </a:prstGeom>
                    <a:noFill/>
                    <a:ln w="9525">
                      <a:noFill/>
                      <a:miter lim="800000"/>
                      <a:headEnd/>
                      <a:tailEnd/>
                    </a:ln>
                  </pic:spPr>
                </pic:pic>
              </a:graphicData>
            </a:graphic>
          </wp:inline>
        </w:drawing>
      </w:r>
    </w:p>
    <w:p w:rsidR="00DC0DFB" w:rsidRPr="00217F72" w:rsidRDefault="00EF5207" w:rsidP="00217F72">
      <w:pPr>
        <w:rPr>
          <w:rFonts w:asciiTheme="majorBidi" w:hAnsiTheme="majorBidi" w:cstheme="majorBidi"/>
          <w:noProof/>
          <w:sz w:val="24"/>
          <w:szCs w:val="24"/>
          <w:lang w:eastAsia="fr-FR"/>
        </w:rPr>
      </w:pPr>
      <w:r w:rsidRPr="0031275E">
        <w:rPr>
          <w:rFonts w:asciiTheme="majorBidi" w:hAnsiTheme="majorBidi" w:cstheme="majorBidi"/>
          <w:b/>
          <w:bCs/>
          <w:sz w:val="24"/>
          <w:szCs w:val="24"/>
        </w:rPr>
        <w:t>On peut donner différentes définitions de la germination :</w:t>
      </w:r>
    </w:p>
    <w:p w:rsidR="00DC0DFB" w:rsidRPr="0031275E" w:rsidRDefault="00EF5207" w:rsidP="00EF736F">
      <w:pPr>
        <w:spacing w:after="0"/>
        <w:rPr>
          <w:rFonts w:asciiTheme="majorBidi" w:hAnsiTheme="majorBidi" w:cstheme="majorBidi"/>
          <w:sz w:val="24"/>
          <w:szCs w:val="24"/>
        </w:rPr>
      </w:pPr>
      <w:r w:rsidRPr="0031275E">
        <w:rPr>
          <w:rFonts w:asciiTheme="majorBidi" w:hAnsiTheme="majorBidi" w:cstheme="majorBidi"/>
          <w:sz w:val="24"/>
          <w:szCs w:val="24"/>
        </w:rPr>
        <w:t xml:space="preserve"> </w:t>
      </w:r>
      <w:r w:rsidRPr="0031275E">
        <w:rPr>
          <w:rFonts w:asciiTheme="majorBidi" w:hAnsiTheme="majorBidi" w:cstheme="majorBidi"/>
          <w:b/>
          <w:bCs/>
          <w:sz w:val="24"/>
          <w:szCs w:val="24"/>
        </w:rPr>
        <w:t>- Physiologiquement :</w:t>
      </w:r>
      <w:r w:rsidR="00EF736F" w:rsidRPr="00EF736F">
        <w:rPr>
          <w:rFonts w:asciiTheme="majorBidi" w:hAnsiTheme="majorBidi" w:cstheme="majorBidi"/>
          <w:sz w:val="24"/>
          <w:szCs w:val="24"/>
        </w:rPr>
        <w:t xml:space="preserve"> </w:t>
      </w:r>
      <w:r w:rsidR="00EF736F" w:rsidRPr="0031275E">
        <w:rPr>
          <w:rFonts w:asciiTheme="majorBidi" w:hAnsiTheme="majorBidi" w:cstheme="majorBidi"/>
          <w:sz w:val="24"/>
          <w:szCs w:val="24"/>
        </w:rPr>
        <w:t>la germination correspond au passage d’un état de vie ralentie à un état de vie active.</w:t>
      </w:r>
      <w:r w:rsidRPr="0031275E">
        <w:rPr>
          <w:rFonts w:asciiTheme="majorBidi" w:hAnsiTheme="majorBidi" w:cstheme="majorBidi"/>
          <w:sz w:val="24"/>
          <w:szCs w:val="24"/>
        </w:rPr>
        <w:t xml:space="preserve"> </w:t>
      </w:r>
      <w:r w:rsidR="00EF736F" w:rsidRPr="0031275E">
        <w:rPr>
          <w:rFonts w:asciiTheme="majorBidi" w:hAnsiTheme="majorBidi" w:cstheme="majorBidi"/>
          <w:sz w:val="24"/>
          <w:szCs w:val="24"/>
        </w:rPr>
        <w:t>Il</w:t>
      </w:r>
      <w:r w:rsidRPr="0031275E">
        <w:rPr>
          <w:rFonts w:asciiTheme="majorBidi" w:hAnsiTheme="majorBidi" w:cstheme="majorBidi"/>
          <w:sz w:val="24"/>
          <w:szCs w:val="24"/>
        </w:rPr>
        <w:t xml:space="preserve"> s’agit d’un stade d’hétérotrophie qui se termine à la formation des racines et des feuilles. En effet la plante est un organe autotrophe doué de photosynthèse. </w:t>
      </w:r>
    </w:p>
    <w:p w:rsidR="00DC0DFB" w:rsidRPr="0031275E" w:rsidRDefault="00EF5207" w:rsidP="00EF736F">
      <w:pPr>
        <w:spacing w:after="0"/>
        <w:rPr>
          <w:rFonts w:asciiTheme="majorBidi" w:hAnsiTheme="majorBidi" w:cstheme="majorBidi"/>
          <w:sz w:val="24"/>
          <w:szCs w:val="24"/>
        </w:rPr>
      </w:pPr>
      <w:r w:rsidRPr="0031275E">
        <w:rPr>
          <w:rFonts w:asciiTheme="majorBidi" w:hAnsiTheme="majorBidi" w:cstheme="majorBidi"/>
          <w:b/>
          <w:bCs/>
          <w:sz w:val="24"/>
          <w:szCs w:val="24"/>
        </w:rPr>
        <w:t>- Botaniquement :</w:t>
      </w:r>
      <w:r w:rsidRPr="0031275E">
        <w:rPr>
          <w:rFonts w:asciiTheme="majorBidi" w:hAnsiTheme="majorBidi" w:cstheme="majorBidi"/>
          <w:sz w:val="24"/>
          <w:szCs w:val="24"/>
        </w:rPr>
        <w:t xml:space="preserve"> la germination s’arrête quand la radicule a percé les téguments de la graine</w:t>
      </w:r>
    </w:p>
    <w:p w:rsidR="00EF5207" w:rsidRPr="0031275E" w:rsidRDefault="00EF5207" w:rsidP="00EF736F">
      <w:pPr>
        <w:spacing w:after="0"/>
        <w:rPr>
          <w:rFonts w:asciiTheme="majorBidi" w:hAnsiTheme="majorBidi" w:cstheme="majorBidi"/>
          <w:sz w:val="24"/>
          <w:szCs w:val="24"/>
        </w:rPr>
      </w:pPr>
      <w:r w:rsidRPr="0031275E">
        <w:rPr>
          <w:rFonts w:asciiTheme="majorBidi" w:hAnsiTheme="majorBidi" w:cstheme="majorBidi"/>
          <w:b/>
          <w:bCs/>
          <w:sz w:val="24"/>
          <w:szCs w:val="24"/>
        </w:rPr>
        <w:t xml:space="preserve"> - </w:t>
      </w:r>
      <w:proofErr w:type="spellStart"/>
      <w:r w:rsidRPr="0031275E">
        <w:rPr>
          <w:rFonts w:asciiTheme="majorBidi" w:hAnsiTheme="majorBidi" w:cstheme="majorBidi"/>
          <w:b/>
          <w:bCs/>
          <w:sz w:val="24"/>
          <w:szCs w:val="24"/>
        </w:rPr>
        <w:t>Agronomiquement</w:t>
      </w:r>
      <w:proofErr w:type="spellEnd"/>
      <w:r w:rsidRPr="0031275E">
        <w:rPr>
          <w:rFonts w:asciiTheme="majorBidi" w:hAnsiTheme="majorBidi" w:cstheme="majorBidi"/>
          <w:b/>
          <w:bCs/>
          <w:sz w:val="24"/>
          <w:szCs w:val="24"/>
        </w:rPr>
        <w:t xml:space="preserve"> :</w:t>
      </w:r>
      <w:r w:rsidRPr="0031275E">
        <w:rPr>
          <w:rFonts w:asciiTheme="majorBidi" w:hAnsiTheme="majorBidi" w:cstheme="majorBidi"/>
          <w:sz w:val="24"/>
          <w:szCs w:val="24"/>
        </w:rPr>
        <w:t xml:space="preserve"> la germination s’arrête à la levée des semis, c’est-à-dire l’apparition des premières feuilles à la surface du sol. Il faut savoir qu’en germination, la future plante a besoin qu’on lui apporte les nutriments extérieurs pour grandir : les tissus de réserve</w:t>
      </w:r>
      <w:r w:rsidR="008F255B" w:rsidRPr="0031275E">
        <w:rPr>
          <w:rFonts w:asciiTheme="majorBidi" w:hAnsiTheme="majorBidi" w:cstheme="majorBidi"/>
          <w:sz w:val="24"/>
          <w:szCs w:val="24"/>
        </w:rPr>
        <w:t>.</w:t>
      </w:r>
    </w:p>
    <w:p w:rsidR="008F255B" w:rsidRPr="0031275E" w:rsidRDefault="008F255B" w:rsidP="00EF736F">
      <w:pPr>
        <w:spacing w:after="0"/>
        <w:rPr>
          <w:rFonts w:asciiTheme="majorBidi" w:hAnsiTheme="majorBidi" w:cstheme="majorBidi"/>
          <w:sz w:val="24"/>
          <w:szCs w:val="24"/>
        </w:rPr>
      </w:pPr>
    </w:p>
    <w:p w:rsidR="008F255B" w:rsidRPr="0031275E" w:rsidRDefault="00EF5D91" w:rsidP="00EF736F">
      <w:pPr>
        <w:spacing w:after="0"/>
        <w:rPr>
          <w:rFonts w:asciiTheme="majorBidi" w:hAnsiTheme="majorBidi" w:cstheme="majorBidi"/>
          <w:b/>
          <w:bCs/>
          <w:sz w:val="24"/>
          <w:szCs w:val="24"/>
        </w:rPr>
      </w:pPr>
      <w:r>
        <w:rPr>
          <w:rFonts w:asciiTheme="majorBidi" w:hAnsiTheme="majorBidi" w:cstheme="majorBidi"/>
          <w:b/>
          <w:bCs/>
          <w:sz w:val="24"/>
          <w:szCs w:val="24"/>
        </w:rPr>
        <w:t>1</w:t>
      </w:r>
      <w:r w:rsidR="008F255B" w:rsidRPr="0031275E">
        <w:rPr>
          <w:rFonts w:asciiTheme="majorBidi" w:hAnsiTheme="majorBidi" w:cstheme="majorBidi"/>
          <w:b/>
          <w:bCs/>
          <w:sz w:val="24"/>
          <w:szCs w:val="24"/>
        </w:rPr>
        <w:t xml:space="preserve">. Les deux types de germinations </w:t>
      </w:r>
    </w:p>
    <w:p w:rsidR="00570627" w:rsidRPr="0031275E" w:rsidRDefault="008F255B" w:rsidP="00DC0DFB">
      <w:pPr>
        <w:spacing w:after="0"/>
        <w:rPr>
          <w:rFonts w:asciiTheme="majorBidi" w:hAnsiTheme="majorBidi" w:cstheme="majorBidi"/>
          <w:sz w:val="24"/>
          <w:szCs w:val="24"/>
        </w:rPr>
      </w:pPr>
      <w:r w:rsidRPr="0031275E">
        <w:rPr>
          <w:rFonts w:asciiTheme="majorBidi" w:hAnsiTheme="majorBidi" w:cstheme="majorBidi"/>
          <w:sz w:val="24"/>
          <w:szCs w:val="24"/>
        </w:rPr>
        <w:t>Il existe deux types de germination : Hypogée et épigée.</w:t>
      </w:r>
    </w:p>
    <w:p w:rsidR="008F255B" w:rsidRDefault="008F255B" w:rsidP="00DC0DFB">
      <w:pPr>
        <w:spacing w:after="0"/>
      </w:pPr>
      <w:r>
        <w:rPr>
          <w:noProof/>
          <w:lang w:eastAsia="fr-FR"/>
        </w:rPr>
        <w:drawing>
          <wp:inline distT="0" distB="0" distL="0" distR="0">
            <wp:extent cx="3476232" cy="21907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3478433" cy="2192137"/>
                    </a:xfrm>
                    <a:prstGeom prst="rect">
                      <a:avLst/>
                    </a:prstGeom>
                    <a:noFill/>
                    <a:ln w="9525">
                      <a:noFill/>
                      <a:miter lim="800000"/>
                      <a:headEnd/>
                      <a:tailEnd/>
                    </a:ln>
                  </pic:spPr>
                </pic:pic>
              </a:graphicData>
            </a:graphic>
          </wp:inline>
        </w:drawing>
      </w:r>
    </w:p>
    <w:p w:rsidR="002F5B4E" w:rsidRPr="001F40BA" w:rsidRDefault="002F5B4E" w:rsidP="00DC0DFB">
      <w:pPr>
        <w:spacing w:after="0"/>
        <w:rPr>
          <w:rFonts w:ascii="Times New Roman" w:hAnsi="Times New Roman" w:cs="Times New Roman"/>
          <w:b/>
          <w:bCs/>
        </w:rPr>
      </w:pPr>
      <w:r w:rsidRPr="001F40BA">
        <w:t xml:space="preserve"> </w:t>
      </w:r>
      <w:r w:rsidRPr="001F40BA">
        <w:rPr>
          <w:rFonts w:ascii="Times New Roman" w:hAnsi="Times New Roman" w:cs="Times New Roman"/>
          <w:b/>
          <w:bCs/>
        </w:rPr>
        <w:t>Germination hypogée le cotylédon</w:t>
      </w:r>
      <w:r w:rsidR="00D3456C">
        <w:rPr>
          <w:rFonts w:ascii="Times New Roman" w:hAnsi="Times New Roman" w:cs="Times New Roman"/>
          <w:b/>
          <w:bCs/>
        </w:rPr>
        <w:t xml:space="preserve"> reste dans le sol (P</w:t>
      </w:r>
      <w:r w:rsidRPr="001F40BA">
        <w:rPr>
          <w:rFonts w:ascii="Times New Roman" w:hAnsi="Times New Roman" w:cs="Times New Roman"/>
          <w:b/>
          <w:bCs/>
        </w:rPr>
        <w:t>ois</w:t>
      </w:r>
      <w:r w:rsidR="00C35042" w:rsidRPr="001F40BA">
        <w:rPr>
          <w:rFonts w:ascii="Times New Roman" w:hAnsi="Times New Roman" w:cs="Times New Roman"/>
          <w:b/>
          <w:bCs/>
        </w:rPr>
        <w:t xml:space="preserve"> </w:t>
      </w:r>
      <w:proofErr w:type="spellStart"/>
      <w:r w:rsidR="00C35042" w:rsidRPr="001F40BA">
        <w:rPr>
          <w:rFonts w:ascii="Times New Roman" w:hAnsi="Times New Roman" w:cs="Times New Roman"/>
          <w:b/>
          <w:bCs/>
        </w:rPr>
        <w:t>Pisium</w:t>
      </w:r>
      <w:proofErr w:type="spellEnd"/>
      <w:r w:rsidR="00C35042" w:rsidRPr="001F40BA">
        <w:rPr>
          <w:rFonts w:ascii="Times New Roman" w:hAnsi="Times New Roman" w:cs="Times New Roman"/>
          <w:b/>
          <w:bCs/>
        </w:rPr>
        <w:t xml:space="preserve"> </w:t>
      </w:r>
      <w:proofErr w:type="spellStart"/>
      <w:r w:rsidR="00C35042" w:rsidRPr="001F40BA">
        <w:rPr>
          <w:rFonts w:ascii="Times New Roman" w:hAnsi="Times New Roman" w:cs="Times New Roman"/>
          <w:b/>
          <w:bCs/>
        </w:rPr>
        <w:t>sativum</w:t>
      </w:r>
      <w:proofErr w:type="spellEnd"/>
      <w:r w:rsidRPr="001F40BA">
        <w:rPr>
          <w:rFonts w:ascii="Times New Roman" w:hAnsi="Times New Roman" w:cs="Times New Roman"/>
          <w:b/>
          <w:bCs/>
        </w:rPr>
        <w:t>)</w:t>
      </w:r>
    </w:p>
    <w:p w:rsidR="002F5B4E" w:rsidRDefault="002F5B4E" w:rsidP="00DC0DFB">
      <w:pPr>
        <w:spacing w:after="0"/>
      </w:pPr>
      <w:r>
        <w:rPr>
          <w:noProof/>
          <w:lang w:eastAsia="fr-FR"/>
        </w:rPr>
        <w:lastRenderedPageBreak/>
        <w:drawing>
          <wp:inline distT="0" distB="0" distL="0" distR="0">
            <wp:extent cx="3477414" cy="2124075"/>
            <wp:effectExtent l="19050" t="0" r="8736"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3479070" cy="2125086"/>
                    </a:xfrm>
                    <a:prstGeom prst="rect">
                      <a:avLst/>
                    </a:prstGeom>
                    <a:noFill/>
                    <a:ln w="9525">
                      <a:noFill/>
                      <a:miter lim="800000"/>
                      <a:headEnd/>
                      <a:tailEnd/>
                    </a:ln>
                  </pic:spPr>
                </pic:pic>
              </a:graphicData>
            </a:graphic>
          </wp:inline>
        </w:drawing>
      </w:r>
    </w:p>
    <w:p w:rsidR="002F5B4E" w:rsidRDefault="001F40BA" w:rsidP="00DC0DFB">
      <w:pPr>
        <w:spacing w:after="0"/>
        <w:rPr>
          <w:rFonts w:asciiTheme="majorBidi" w:hAnsiTheme="majorBidi" w:cstheme="majorBidi"/>
          <w:b/>
          <w:bCs/>
          <w:sz w:val="24"/>
          <w:szCs w:val="24"/>
        </w:rPr>
      </w:pPr>
      <w:r>
        <w:t xml:space="preserve"> </w:t>
      </w:r>
      <w:r w:rsidR="007F5649" w:rsidRPr="007F5649">
        <w:rPr>
          <w:rFonts w:asciiTheme="majorBidi" w:hAnsiTheme="majorBidi" w:cstheme="majorBidi"/>
          <w:b/>
          <w:bCs/>
          <w:sz w:val="24"/>
          <w:szCs w:val="24"/>
        </w:rPr>
        <w:t>G</w:t>
      </w:r>
      <w:r w:rsidR="002F5B4E" w:rsidRPr="007F5649">
        <w:rPr>
          <w:rFonts w:asciiTheme="majorBidi" w:hAnsiTheme="majorBidi" w:cstheme="majorBidi"/>
          <w:b/>
          <w:bCs/>
          <w:sz w:val="24"/>
          <w:szCs w:val="24"/>
        </w:rPr>
        <w:t>ermination épigée le coty</w:t>
      </w:r>
      <w:r w:rsidR="00D3456C">
        <w:rPr>
          <w:rFonts w:asciiTheme="majorBidi" w:hAnsiTheme="majorBidi" w:cstheme="majorBidi"/>
          <w:b/>
          <w:bCs/>
          <w:sz w:val="24"/>
          <w:szCs w:val="24"/>
        </w:rPr>
        <w:t>lédon sort du sol (H</w:t>
      </w:r>
      <w:r w:rsidR="002F5B4E" w:rsidRPr="007F5649">
        <w:rPr>
          <w:rFonts w:asciiTheme="majorBidi" w:hAnsiTheme="majorBidi" w:cstheme="majorBidi"/>
          <w:b/>
          <w:bCs/>
          <w:sz w:val="24"/>
          <w:szCs w:val="24"/>
        </w:rPr>
        <w:t>aricots</w:t>
      </w:r>
      <w:r w:rsidR="00C35042">
        <w:rPr>
          <w:rFonts w:asciiTheme="majorBidi" w:hAnsiTheme="majorBidi" w:cstheme="majorBidi"/>
          <w:b/>
          <w:bCs/>
          <w:sz w:val="24"/>
          <w:szCs w:val="24"/>
        </w:rPr>
        <w:t xml:space="preserve"> </w:t>
      </w:r>
      <w:proofErr w:type="spellStart"/>
      <w:r w:rsidR="00C35042">
        <w:rPr>
          <w:rFonts w:asciiTheme="majorBidi" w:hAnsiTheme="majorBidi" w:cstheme="majorBidi"/>
          <w:b/>
          <w:bCs/>
          <w:sz w:val="24"/>
          <w:szCs w:val="24"/>
        </w:rPr>
        <w:t>Phaseolus</w:t>
      </w:r>
      <w:proofErr w:type="spellEnd"/>
      <w:r w:rsidR="00C35042">
        <w:rPr>
          <w:rFonts w:asciiTheme="majorBidi" w:hAnsiTheme="majorBidi" w:cstheme="majorBidi"/>
          <w:b/>
          <w:bCs/>
          <w:sz w:val="24"/>
          <w:szCs w:val="24"/>
        </w:rPr>
        <w:t xml:space="preserve"> </w:t>
      </w:r>
      <w:proofErr w:type="spellStart"/>
      <w:r w:rsidR="00C35042">
        <w:rPr>
          <w:rFonts w:asciiTheme="majorBidi" w:hAnsiTheme="majorBidi" w:cstheme="majorBidi"/>
          <w:b/>
          <w:bCs/>
          <w:sz w:val="24"/>
          <w:szCs w:val="24"/>
        </w:rPr>
        <w:t>vulgaris</w:t>
      </w:r>
      <w:proofErr w:type="spellEnd"/>
      <w:r w:rsidR="002F5B4E" w:rsidRPr="007F5649">
        <w:rPr>
          <w:rFonts w:asciiTheme="majorBidi" w:hAnsiTheme="majorBidi" w:cstheme="majorBidi"/>
          <w:b/>
          <w:bCs/>
          <w:sz w:val="24"/>
          <w:szCs w:val="24"/>
        </w:rPr>
        <w:t>)</w:t>
      </w:r>
    </w:p>
    <w:p w:rsidR="00587EB0" w:rsidRPr="00587EB0" w:rsidRDefault="00587EB0" w:rsidP="00DC0DFB">
      <w:pPr>
        <w:spacing w:after="0"/>
        <w:rPr>
          <w:rFonts w:asciiTheme="majorBidi" w:hAnsiTheme="majorBidi" w:cstheme="majorBidi"/>
          <w:b/>
          <w:bCs/>
          <w:sz w:val="24"/>
          <w:szCs w:val="24"/>
        </w:rPr>
      </w:pPr>
    </w:p>
    <w:p w:rsidR="00587EB0" w:rsidRPr="0031275E" w:rsidRDefault="00587EB0" w:rsidP="00DC0DFB">
      <w:pPr>
        <w:spacing w:after="0"/>
        <w:rPr>
          <w:rFonts w:asciiTheme="majorBidi" w:hAnsiTheme="majorBidi" w:cstheme="majorBidi"/>
          <w:b/>
          <w:bCs/>
          <w:sz w:val="24"/>
          <w:szCs w:val="24"/>
        </w:rPr>
      </w:pPr>
      <w:r w:rsidRPr="0031275E">
        <w:rPr>
          <w:rFonts w:asciiTheme="majorBidi" w:hAnsiTheme="majorBidi" w:cstheme="majorBidi"/>
          <w:b/>
          <w:bCs/>
          <w:sz w:val="24"/>
          <w:szCs w:val="24"/>
        </w:rPr>
        <w:t xml:space="preserve">Les cotylédons ont deux rôles successifs : </w:t>
      </w:r>
    </w:p>
    <w:p w:rsidR="00587EB0" w:rsidRPr="0031275E" w:rsidRDefault="00587EB0" w:rsidP="00DC0DFB">
      <w:pPr>
        <w:spacing w:after="0"/>
        <w:rPr>
          <w:rFonts w:asciiTheme="majorBidi" w:hAnsiTheme="majorBidi" w:cstheme="majorBidi"/>
          <w:sz w:val="24"/>
          <w:szCs w:val="24"/>
        </w:rPr>
      </w:pPr>
      <w:r w:rsidRPr="0031275E">
        <w:rPr>
          <w:rFonts w:asciiTheme="majorBidi" w:hAnsiTheme="majorBidi" w:cstheme="majorBidi"/>
          <w:b/>
          <w:bCs/>
          <w:sz w:val="24"/>
          <w:szCs w:val="24"/>
        </w:rPr>
        <w:t>- Tissu nutritif ou de réserve :</w:t>
      </w:r>
      <w:r w:rsidRPr="0031275E">
        <w:rPr>
          <w:rFonts w:asciiTheme="majorBidi" w:hAnsiTheme="majorBidi" w:cstheme="majorBidi"/>
          <w:sz w:val="24"/>
          <w:szCs w:val="24"/>
        </w:rPr>
        <w:t xml:space="preserve"> la future plantule utilise ces réserves pour percer les téguments.</w:t>
      </w:r>
    </w:p>
    <w:p w:rsidR="00C35042" w:rsidRDefault="00587EB0" w:rsidP="00DC0DFB">
      <w:pPr>
        <w:spacing w:after="0"/>
        <w:rPr>
          <w:rFonts w:asciiTheme="majorBidi" w:hAnsiTheme="majorBidi" w:cstheme="majorBidi"/>
          <w:sz w:val="24"/>
          <w:szCs w:val="24"/>
        </w:rPr>
      </w:pPr>
      <w:r w:rsidRPr="0031275E">
        <w:rPr>
          <w:rFonts w:asciiTheme="majorBidi" w:hAnsiTheme="majorBidi" w:cstheme="majorBidi"/>
          <w:b/>
          <w:bCs/>
          <w:sz w:val="24"/>
          <w:szCs w:val="24"/>
        </w:rPr>
        <w:t xml:space="preserve"> - Tissu assimilateur</w:t>
      </w:r>
      <w:r w:rsidRPr="0031275E">
        <w:rPr>
          <w:rFonts w:asciiTheme="majorBidi" w:hAnsiTheme="majorBidi" w:cstheme="majorBidi"/>
          <w:sz w:val="24"/>
          <w:szCs w:val="24"/>
        </w:rPr>
        <w:t xml:space="preserve"> : enrichissement en chlorophylle pour la photosynthèse et, on parle de feuilles cotylédonaires.</w:t>
      </w:r>
    </w:p>
    <w:p w:rsidR="0063653F" w:rsidRDefault="0063653F" w:rsidP="00DC0DFB">
      <w:pPr>
        <w:spacing w:after="0"/>
        <w:rPr>
          <w:rFonts w:asciiTheme="majorBidi" w:hAnsiTheme="majorBidi" w:cstheme="majorBidi"/>
          <w:sz w:val="24"/>
          <w:szCs w:val="24"/>
        </w:rPr>
      </w:pPr>
    </w:p>
    <w:p w:rsidR="006157C8" w:rsidRPr="001A4EB3" w:rsidRDefault="00545613" w:rsidP="00545613">
      <w:pPr>
        <w:spacing w:after="0"/>
        <w:ind w:left="45"/>
        <w:rPr>
          <w:rFonts w:ascii="Times New Roman" w:hAnsi="Times New Roman" w:cs="Times New Roman"/>
          <w:b/>
          <w:bCs/>
          <w:sz w:val="28"/>
          <w:szCs w:val="28"/>
        </w:rPr>
      </w:pPr>
      <w:r w:rsidRPr="001A4EB3">
        <w:rPr>
          <w:rFonts w:ascii="Times New Roman" w:hAnsi="Times New Roman" w:cs="Times New Roman"/>
          <w:b/>
          <w:bCs/>
          <w:sz w:val="28"/>
          <w:szCs w:val="28"/>
        </w:rPr>
        <w:t>2.</w:t>
      </w:r>
      <w:r w:rsidR="00435D84">
        <w:rPr>
          <w:rFonts w:ascii="Times New Roman" w:hAnsi="Times New Roman" w:cs="Times New Roman"/>
          <w:b/>
          <w:bCs/>
          <w:sz w:val="28"/>
          <w:szCs w:val="28"/>
        </w:rPr>
        <w:t xml:space="preserve"> </w:t>
      </w:r>
      <w:r w:rsidR="00EF5D91" w:rsidRPr="008B1520">
        <w:rPr>
          <w:rFonts w:ascii="Times New Roman" w:hAnsi="Times New Roman" w:cs="Times New Roman"/>
          <w:b/>
          <w:bCs/>
          <w:sz w:val="24"/>
          <w:szCs w:val="24"/>
        </w:rPr>
        <w:t>Les c</w:t>
      </w:r>
      <w:r w:rsidR="003036B3" w:rsidRPr="008B1520">
        <w:rPr>
          <w:rFonts w:ascii="Times New Roman" w:hAnsi="Times New Roman" w:cs="Times New Roman"/>
          <w:b/>
          <w:bCs/>
          <w:sz w:val="24"/>
          <w:szCs w:val="24"/>
        </w:rPr>
        <w:t>onditions de la g</w:t>
      </w:r>
      <w:r w:rsidR="00C02DBD" w:rsidRPr="008B1520">
        <w:rPr>
          <w:rFonts w:ascii="Times New Roman" w:hAnsi="Times New Roman" w:cs="Times New Roman"/>
          <w:b/>
          <w:bCs/>
          <w:sz w:val="24"/>
          <w:szCs w:val="24"/>
        </w:rPr>
        <w:t>ermination</w:t>
      </w:r>
    </w:p>
    <w:p w:rsidR="009808D9" w:rsidRPr="003E216F" w:rsidRDefault="00C02DBD"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b/>
          <w:bCs/>
          <w:sz w:val="24"/>
          <w:szCs w:val="24"/>
        </w:rPr>
        <w:t>- Les conditions externes</w:t>
      </w:r>
      <w:r w:rsidRPr="003E216F">
        <w:rPr>
          <w:rFonts w:asciiTheme="majorBidi" w:hAnsiTheme="majorBidi" w:cstheme="majorBidi"/>
          <w:sz w:val="24"/>
          <w:szCs w:val="24"/>
        </w:rPr>
        <w:t xml:space="preserve"> qui dépendent de</w:t>
      </w:r>
      <w:r w:rsidR="0063653F">
        <w:rPr>
          <w:rFonts w:asciiTheme="majorBidi" w:hAnsiTheme="majorBidi" w:cstheme="majorBidi"/>
          <w:sz w:val="24"/>
          <w:szCs w:val="24"/>
        </w:rPr>
        <w:t>s</w:t>
      </w:r>
      <w:r w:rsidRPr="003E216F">
        <w:rPr>
          <w:rFonts w:asciiTheme="majorBidi" w:hAnsiTheme="majorBidi" w:cstheme="majorBidi"/>
          <w:sz w:val="24"/>
          <w:szCs w:val="24"/>
        </w:rPr>
        <w:t xml:space="preserve"> </w:t>
      </w:r>
      <w:r w:rsidR="009808D9" w:rsidRPr="003E216F">
        <w:rPr>
          <w:rFonts w:asciiTheme="majorBidi" w:hAnsiTheme="majorBidi" w:cstheme="majorBidi"/>
          <w:sz w:val="24"/>
          <w:szCs w:val="24"/>
        </w:rPr>
        <w:t>paramètres environnementaux tels</w:t>
      </w:r>
      <w:r w:rsidRPr="003E216F">
        <w:rPr>
          <w:rFonts w:asciiTheme="majorBidi" w:hAnsiTheme="majorBidi" w:cstheme="majorBidi"/>
          <w:sz w:val="24"/>
          <w:szCs w:val="24"/>
        </w:rPr>
        <w:t xml:space="preserve"> que l’eau, la température, l’oxygène et la lumière.</w:t>
      </w:r>
    </w:p>
    <w:p w:rsidR="009808D9" w:rsidRDefault="00C02DBD" w:rsidP="006157C8">
      <w:pPr>
        <w:pStyle w:val="Paragraphedeliste"/>
        <w:spacing w:after="0"/>
        <w:ind w:left="405"/>
        <w:rPr>
          <w:rFonts w:asciiTheme="majorBidi" w:hAnsiTheme="majorBidi" w:cstheme="majorBidi"/>
          <w:sz w:val="24"/>
          <w:szCs w:val="24"/>
          <w:rtl/>
        </w:rPr>
      </w:pPr>
      <w:r w:rsidRPr="003E216F">
        <w:rPr>
          <w:rFonts w:asciiTheme="majorBidi" w:hAnsiTheme="majorBidi" w:cstheme="majorBidi"/>
          <w:b/>
          <w:bCs/>
          <w:sz w:val="24"/>
          <w:szCs w:val="24"/>
        </w:rPr>
        <w:t xml:space="preserve"> - Les conditions internes</w:t>
      </w:r>
      <w:r w:rsidRPr="003E216F">
        <w:rPr>
          <w:rFonts w:asciiTheme="majorBidi" w:hAnsiTheme="majorBidi" w:cstheme="majorBidi"/>
          <w:sz w:val="24"/>
          <w:szCs w:val="24"/>
        </w:rPr>
        <w:t xml:space="preserve"> qui dépendent de la constitution de la graine telle que la dormance et la photosensibilité de la graine.</w:t>
      </w:r>
    </w:p>
    <w:p w:rsidR="009808D9" w:rsidRPr="0063653F" w:rsidRDefault="0063653F" w:rsidP="0063653F">
      <w:pPr>
        <w:spacing w:after="0"/>
        <w:rPr>
          <w:rFonts w:asciiTheme="majorBidi" w:hAnsiTheme="majorBidi" w:cstheme="majorBidi"/>
          <w:b/>
          <w:bCs/>
          <w:sz w:val="24"/>
          <w:szCs w:val="24"/>
        </w:rPr>
      </w:pPr>
      <w:r>
        <w:rPr>
          <w:rFonts w:asciiTheme="majorBidi" w:hAnsiTheme="majorBidi" w:cstheme="majorBidi"/>
          <w:sz w:val="24"/>
          <w:szCs w:val="24"/>
        </w:rPr>
        <w:t xml:space="preserve">            </w:t>
      </w:r>
      <w:r w:rsidR="00C02DBD" w:rsidRPr="0063653F">
        <w:rPr>
          <w:rFonts w:asciiTheme="majorBidi" w:hAnsiTheme="majorBidi" w:cstheme="majorBidi"/>
          <w:b/>
          <w:bCs/>
          <w:sz w:val="24"/>
          <w:szCs w:val="24"/>
        </w:rPr>
        <w:t xml:space="preserve"> a. Influence des facteurs externes </w:t>
      </w:r>
    </w:p>
    <w:p w:rsidR="001449D8" w:rsidRDefault="00C02DBD" w:rsidP="001449D8">
      <w:pPr>
        <w:pStyle w:val="Paragraphedeliste"/>
        <w:spacing w:after="0"/>
        <w:ind w:left="405"/>
        <w:rPr>
          <w:rFonts w:asciiTheme="majorBidi" w:hAnsiTheme="majorBidi" w:cstheme="majorBidi"/>
          <w:sz w:val="24"/>
          <w:szCs w:val="24"/>
          <w:rtl/>
        </w:rPr>
      </w:pPr>
      <w:r w:rsidRPr="003E216F">
        <w:rPr>
          <w:rFonts w:asciiTheme="majorBidi" w:hAnsiTheme="majorBidi" w:cstheme="majorBidi"/>
          <w:b/>
          <w:bCs/>
          <w:sz w:val="24"/>
          <w:szCs w:val="24"/>
        </w:rPr>
        <w:t>L’eau liquide :</w:t>
      </w:r>
      <w:r w:rsidRPr="003E216F">
        <w:rPr>
          <w:rFonts w:asciiTheme="majorBidi" w:hAnsiTheme="majorBidi" w:cstheme="majorBidi"/>
          <w:sz w:val="24"/>
          <w:szCs w:val="24"/>
        </w:rPr>
        <w:t xml:space="preserve"> La quantité d’eau nécessaire est de 50% à 250% du poids sec de la graine et permet la réhydratation des tissus. Les tissus de réserve varient et font varier la quantité d’eau </w:t>
      </w:r>
    </w:p>
    <w:p w:rsidR="00F12406" w:rsidRPr="00435D84" w:rsidRDefault="009808D9" w:rsidP="001449D8">
      <w:pPr>
        <w:pStyle w:val="Paragraphedeliste"/>
        <w:spacing w:after="0"/>
        <w:ind w:left="405"/>
        <w:rPr>
          <w:rFonts w:asciiTheme="majorBidi" w:hAnsiTheme="majorBidi" w:cstheme="majorBidi"/>
          <w:b/>
          <w:bCs/>
          <w:sz w:val="24"/>
          <w:szCs w:val="24"/>
        </w:rPr>
      </w:pPr>
      <w:r w:rsidRPr="00435D84">
        <w:rPr>
          <w:rFonts w:asciiTheme="majorBidi" w:hAnsiTheme="majorBidi" w:cstheme="majorBidi"/>
          <w:b/>
          <w:bCs/>
          <w:sz w:val="24"/>
          <w:szCs w:val="24"/>
        </w:rPr>
        <w:t>Graines Oléagineuses &lt;&lt; Graines Amylacées &lt;&lt; Graines Protéagineuses</w:t>
      </w:r>
    </w:p>
    <w:p w:rsidR="00F12406" w:rsidRPr="003E216F" w:rsidRDefault="009808D9" w:rsidP="00067B01">
      <w:pPr>
        <w:pStyle w:val="Paragraphedeliste"/>
        <w:spacing w:after="0"/>
        <w:ind w:left="405"/>
        <w:rPr>
          <w:rFonts w:asciiTheme="majorBidi" w:hAnsiTheme="majorBidi" w:cstheme="majorBidi"/>
          <w:sz w:val="24"/>
          <w:szCs w:val="24"/>
        </w:rPr>
      </w:pPr>
      <w:r w:rsidRPr="00435D84">
        <w:rPr>
          <w:rFonts w:asciiTheme="majorBidi" w:hAnsiTheme="majorBidi" w:cstheme="majorBidi"/>
          <w:b/>
          <w:bCs/>
          <w:sz w:val="24"/>
          <w:szCs w:val="24"/>
        </w:rPr>
        <w:t xml:space="preserve"> H2O – </w:t>
      </w:r>
      <w:r w:rsidR="00067B01" w:rsidRPr="00435D84">
        <w:rPr>
          <w:rFonts w:asciiTheme="majorBidi" w:hAnsiTheme="majorBidi" w:cstheme="majorBidi"/>
          <w:b/>
          <w:bCs/>
          <w:noProof/>
          <w:sz w:val="24"/>
          <w:szCs w:val="24"/>
          <w:lang w:eastAsia="fr-FR"/>
        </w:rPr>
        <w:drawing>
          <wp:inline distT="0" distB="0" distL="0" distR="0">
            <wp:extent cx="3619500" cy="7239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srcRect/>
                    <a:stretch>
                      <a:fillRect/>
                    </a:stretch>
                  </pic:blipFill>
                  <pic:spPr bwMode="auto">
                    <a:xfrm flipV="1">
                      <a:off x="0" y="0"/>
                      <a:ext cx="3691911" cy="73838"/>
                    </a:xfrm>
                    <a:prstGeom prst="rect">
                      <a:avLst/>
                    </a:prstGeom>
                    <a:noFill/>
                    <a:ln w="9525">
                      <a:noFill/>
                      <a:miter lim="800000"/>
                      <a:headEnd/>
                      <a:tailEnd/>
                    </a:ln>
                  </pic:spPr>
                </pic:pic>
              </a:graphicData>
            </a:graphic>
          </wp:inline>
        </w:drawing>
      </w:r>
      <w:r w:rsidR="00F12406" w:rsidRPr="00435D84">
        <w:rPr>
          <w:rFonts w:asciiTheme="majorBidi" w:hAnsiTheme="majorBidi" w:cstheme="majorBidi"/>
          <w:b/>
          <w:bCs/>
          <w:sz w:val="24"/>
          <w:szCs w:val="24"/>
        </w:rPr>
        <w:t xml:space="preserve">  </w:t>
      </w:r>
      <w:r w:rsidR="00067B01" w:rsidRPr="00435D84">
        <w:rPr>
          <w:rFonts w:asciiTheme="majorBidi" w:hAnsiTheme="majorBidi" w:cstheme="majorBidi"/>
          <w:b/>
          <w:bCs/>
          <w:sz w:val="24"/>
          <w:szCs w:val="24"/>
        </w:rPr>
        <w:t xml:space="preserve">H2O </w:t>
      </w:r>
      <w:r w:rsidR="00067B01" w:rsidRPr="003E216F">
        <w:rPr>
          <w:rFonts w:asciiTheme="majorBidi" w:hAnsiTheme="majorBidi" w:cstheme="majorBidi"/>
          <w:sz w:val="24"/>
          <w:szCs w:val="24"/>
        </w:rPr>
        <w:t xml:space="preserve">+ </w:t>
      </w:r>
      <w:r w:rsidR="00F12406" w:rsidRPr="003E216F">
        <w:rPr>
          <w:rFonts w:asciiTheme="majorBidi" w:hAnsiTheme="majorBidi" w:cstheme="majorBidi"/>
          <w:sz w:val="24"/>
          <w:szCs w:val="24"/>
        </w:rPr>
        <w:t xml:space="preserve">                                                                                         </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L’eau va imbiber la graine, pénétrer les téguments de façon passive : </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Entrée par capillarité</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 Imbibition des téguments </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Pénétration dans les tissus </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L’absorption de l’eau varie en fonction de : </w:t>
      </w:r>
    </w:p>
    <w:p w:rsidR="00067B01" w:rsidRPr="003E216F" w:rsidRDefault="009808D9" w:rsidP="006157C8">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La nature des téguments : poreux, cireux… </w:t>
      </w:r>
    </w:p>
    <w:p w:rsidR="00C233BE" w:rsidRPr="003E216F" w:rsidRDefault="009808D9" w:rsidP="00067B01">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La nature du sol : argile, sable, tourbe… </w:t>
      </w:r>
    </w:p>
    <w:p w:rsidR="009808D9" w:rsidRPr="003E216F" w:rsidRDefault="009808D9"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La température : inférieure ou supérieure à 0°C Les graines sont capables de récupérer de l’eau dans des sols plus ou moins secs grâce à une forte succion</w:t>
      </w:r>
      <w:r w:rsidR="00C233BE" w:rsidRPr="003E216F">
        <w:rPr>
          <w:rFonts w:asciiTheme="majorBidi" w:hAnsiTheme="majorBidi" w:cstheme="majorBidi"/>
          <w:sz w:val="24"/>
          <w:szCs w:val="24"/>
        </w:rPr>
        <w:t>.</w:t>
      </w:r>
    </w:p>
    <w:p w:rsidR="00C233BE" w:rsidRPr="003E216F" w:rsidRDefault="00C233BE"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La forte succion est une des caractéristiques des graines. Ainsi elles peuvent germer dans des sols présentant de faibles teneurs en eau. Par contre si on met trop d’eau elles sont asphyxiées par l’absence d’oxygène. Seules les plantes marécageuses </w:t>
      </w:r>
      <w:proofErr w:type="gramStart"/>
      <w:r w:rsidRPr="003E216F">
        <w:rPr>
          <w:rFonts w:asciiTheme="majorBidi" w:hAnsiTheme="majorBidi" w:cstheme="majorBidi"/>
          <w:sz w:val="24"/>
          <w:szCs w:val="24"/>
        </w:rPr>
        <w:t>tel</w:t>
      </w:r>
      <w:proofErr w:type="gramEnd"/>
      <w:r w:rsidRPr="003E216F">
        <w:rPr>
          <w:rFonts w:asciiTheme="majorBidi" w:hAnsiTheme="majorBidi" w:cstheme="majorBidi"/>
          <w:sz w:val="24"/>
          <w:szCs w:val="24"/>
        </w:rPr>
        <w:t xml:space="preserve"> que le riz y sont adaptées.</w:t>
      </w:r>
    </w:p>
    <w:p w:rsidR="007A62B5" w:rsidRDefault="00C233BE" w:rsidP="007A62B5">
      <w:pPr>
        <w:pStyle w:val="Paragraphedeliste"/>
        <w:spacing w:after="0"/>
        <w:ind w:left="405"/>
        <w:rPr>
          <w:rFonts w:asciiTheme="majorBidi" w:hAnsiTheme="majorBidi" w:cstheme="majorBidi"/>
          <w:sz w:val="24"/>
          <w:szCs w:val="24"/>
          <w:rtl/>
        </w:rPr>
      </w:pPr>
      <w:r w:rsidRPr="003E216F">
        <w:rPr>
          <w:rFonts w:asciiTheme="majorBidi" w:hAnsiTheme="majorBidi" w:cstheme="majorBidi"/>
          <w:sz w:val="24"/>
          <w:szCs w:val="24"/>
        </w:rPr>
        <w:lastRenderedPageBreak/>
        <w:t xml:space="preserve"> </w:t>
      </w:r>
      <w:r w:rsidRPr="003E216F">
        <w:rPr>
          <w:rFonts w:asciiTheme="majorBidi" w:hAnsiTheme="majorBidi" w:cstheme="majorBidi"/>
          <w:b/>
          <w:bCs/>
          <w:sz w:val="24"/>
          <w:szCs w:val="24"/>
        </w:rPr>
        <w:t>La température :</w:t>
      </w:r>
      <w:r w:rsidRPr="003E216F">
        <w:rPr>
          <w:rFonts w:asciiTheme="majorBidi" w:hAnsiTheme="majorBidi" w:cstheme="majorBidi"/>
          <w:sz w:val="24"/>
          <w:szCs w:val="24"/>
        </w:rPr>
        <w:t xml:space="preserve"> Elle influe sur les activités enzymatiques, la perméabilité des membranes et l’entrée d’oxygène. </w:t>
      </w:r>
    </w:p>
    <w:p w:rsidR="00C67B13" w:rsidRPr="003E216F" w:rsidRDefault="00C67B13" w:rsidP="007A62B5">
      <w:pPr>
        <w:pStyle w:val="Paragraphedeliste"/>
        <w:spacing w:after="0"/>
        <w:ind w:left="405"/>
        <w:rPr>
          <w:rFonts w:asciiTheme="majorBidi" w:hAnsiTheme="majorBidi" w:cstheme="majorBidi"/>
          <w:sz w:val="24"/>
          <w:szCs w:val="24"/>
        </w:rPr>
      </w:pPr>
      <w:r w:rsidRPr="003E216F">
        <w:rPr>
          <w:rFonts w:asciiTheme="majorBidi" w:hAnsiTheme="majorBidi" w:cstheme="majorBidi"/>
          <w:b/>
          <w:bCs/>
          <w:sz w:val="24"/>
          <w:szCs w:val="24"/>
        </w:rPr>
        <w:t>L’oxygène :</w:t>
      </w:r>
      <w:r w:rsidRPr="003E216F">
        <w:rPr>
          <w:rFonts w:asciiTheme="majorBidi" w:hAnsiTheme="majorBidi" w:cstheme="majorBidi"/>
          <w:sz w:val="24"/>
          <w:szCs w:val="24"/>
        </w:rPr>
        <w:t xml:space="preserve"> C’est le substrat indispensable à la respiration qui permet la production d’ATP et de matières organiques.</w:t>
      </w:r>
    </w:p>
    <w:p w:rsidR="000F181C" w:rsidRPr="003E216F" w:rsidRDefault="00C67B13" w:rsidP="00C233BE">
      <w:pPr>
        <w:pStyle w:val="Paragraphedeliste"/>
        <w:spacing w:after="0"/>
        <w:ind w:left="405"/>
        <w:rPr>
          <w:rFonts w:asciiTheme="majorBidi" w:hAnsiTheme="majorBidi" w:cstheme="majorBidi"/>
          <w:b/>
          <w:bCs/>
          <w:sz w:val="24"/>
          <w:szCs w:val="24"/>
        </w:rPr>
      </w:pPr>
      <w:r w:rsidRPr="003E216F">
        <w:rPr>
          <w:rFonts w:asciiTheme="majorBidi" w:hAnsiTheme="majorBidi" w:cstheme="majorBidi"/>
          <w:b/>
          <w:bCs/>
          <w:sz w:val="24"/>
          <w:szCs w:val="24"/>
        </w:rPr>
        <w:t xml:space="preserve">b. Influence des facteurs internes </w:t>
      </w:r>
    </w:p>
    <w:p w:rsidR="000F181C" w:rsidRPr="003E216F" w:rsidRDefault="00C67B13" w:rsidP="000F181C">
      <w:pPr>
        <w:pStyle w:val="Paragraphedeliste"/>
        <w:spacing w:after="0"/>
        <w:ind w:left="405"/>
        <w:rPr>
          <w:rFonts w:asciiTheme="majorBidi" w:hAnsiTheme="majorBidi" w:cstheme="majorBidi"/>
          <w:sz w:val="24"/>
          <w:szCs w:val="24"/>
        </w:rPr>
      </w:pPr>
      <w:r w:rsidRPr="003E216F">
        <w:rPr>
          <w:rFonts w:asciiTheme="majorBidi" w:hAnsiTheme="majorBidi" w:cstheme="majorBidi"/>
          <w:b/>
          <w:bCs/>
          <w:sz w:val="24"/>
          <w:szCs w:val="24"/>
        </w:rPr>
        <w:t>La maturité :</w:t>
      </w:r>
      <w:r w:rsidRPr="003E216F">
        <w:rPr>
          <w:rFonts w:asciiTheme="majorBidi" w:hAnsiTheme="majorBidi" w:cstheme="majorBidi"/>
          <w:sz w:val="24"/>
          <w:szCs w:val="24"/>
        </w:rPr>
        <w:t xml:space="preserve"> La graine est complètement différenciée morphologiquement, les réserves sont bien constituées. </w:t>
      </w:r>
    </w:p>
    <w:p w:rsidR="00C67B13" w:rsidRDefault="00C67B13" w:rsidP="000F181C">
      <w:pPr>
        <w:pStyle w:val="Paragraphedeliste"/>
        <w:spacing w:after="0"/>
        <w:ind w:left="405"/>
        <w:rPr>
          <w:rFonts w:asciiTheme="majorBidi" w:hAnsiTheme="majorBidi" w:cstheme="majorBidi"/>
          <w:sz w:val="24"/>
          <w:szCs w:val="24"/>
        </w:rPr>
      </w:pPr>
      <w:r w:rsidRPr="003E216F">
        <w:rPr>
          <w:rFonts w:asciiTheme="majorBidi" w:hAnsiTheme="majorBidi" w:cstheme="majorBidi"/>
          <w:b/>
          <w:bCs/>
          <w:sz w:val="24"/>
          <w:szCs w:val="24"/>
        </w:rPr>
        <w:t>La viabilité / Longévité des semences :</w:t>
      </w:r>
      <w:r w:rsidRPr="003E216F">
        <w:rPr>
          <w:rFonts w:asciiTheme="majorBidi" w:hAnsiTheme="majorBidi" w:cstheme="majorBidi"/>
          <w:sz w:val="24"/>
          <w:szCs w:val="24"/>
        </w:rPr>
        <w:t xml:space="preserve"> La graine est vivante et on a conservation du pouvoir germinatif qui varie en fonction des espèces. En effet, la capacité germinative est plus faible pour les a</w:t>
      </w:r>
      <w:r w:rsidR="000F181C" w:rsidRPr="003E216F">
        <w:rPr>
          <w:rFonts w:asciiTheme="majorBidi" w:hAnsiTheme="majorBidi" w:cstheme="majorBidi"/>
          <w:sz w:val="24"/>
          <w:szCs w:val="24"/>
        </w:rPr>
        <w:t>rbres que pour les herbacés : q</w:t>
      </w:r>
      <w:r w:rsidRPr="003E216F">
        <w:rPr>
          <w:rFonts w:asciiTheme="majorBidi" w:hAnsiTheme="majorBidi" w:cstheme="majorBidi"/>
          <w:sz w:val="24"/>
          <w:szCs w:val="24"/>
        </w:rPr>
        <w:t>uelq</w:t>
      </w:r>
      <w:r w:rsidR="000F181C" w:rsidRPr="003E216F">
        <w:rPr>
          <w:rFonts w:asciiTheme="majorBidi" w:hAnsiTheme="majorBidi" w:cstheme="majorBidi"/>
          <w:sz w:val="24"/>
          <w:szCs w:val="24"/>
        </w:rPr>
        <w:t>ues semaines pour le peuplier, m</w:t>
      </w:r>
      <w:r w:rsidRPr="003E216F">
        <w:rPr>
          <w:rFonts w:asciiTheme="majorBidi" w:hAnsiTheme="majorBidi" w:cstheme="majorBidi"/>
          <w:sz w:val="24"/>
          <w:szCs w:val="24"/>
        </w:rPr>
        <w:t>oins d’un an pour les oléagineuses (colza, ricin, arachide…) et, cette variation est due à l’oxydation</w:t>
      </w:r>
      <w:r w:rsidR="00E223F0">
        <w:rPr>
          <w:rFonts w:asciiTheme="majorBidi" w:hAnsiTheme="majorBidi" w:cstheme="majorBidi"/>
          <w:sz w:val="24"/>
          <w:szCs w:val="24"/>
        </w:rPr>
        <w:t xml:space="preserve"> des réserves</w:t>
      </w:r>
      <w:r w:rsidR="000F181C" w:rsidRPr="003E216F">
        <w:rPr>
          <w:rFonts w:asciiTheme="majorBidi" w:hAnsiTheme="majorBidi" w:cstheme="majorBidi"/>
          <w:sz w:val="24"/>
          <w:szCs w:val="24"/>
        </w:rPr>
        <w:t>, q</w:t>
      </w:r>
      <w:r w:rsidRPr="003E216F">
        <w:rPr>
          <w:rFonts w:asciiTheme="majorBidi" w:hAnsiTheme="majorBidi" w:cstheme="majorBidi"/>
          <w:sz w:val="24"/>
          <w:szCs w:val="24"/>
        </w:rPr>
        <w:t>uelques années pour les amylacées (céréales)</w:t>
      </w:r>
    </w:p>
    <w:p w:rsidR="00791D57" w:rsidRPr="007A62B5" w:rsidRDefault="001A4EB3" w:rsidP="007A62B5">
      <w:pPr>
        <w:spacing w:after="0"/>
        <w:rPr>
          <w:rFonts w:asciiTheme="majorBidi" w:hAnsiTheme="majorBidi" w:cstheme="majorBidi"/>
          <w:b/>
          <w:bCs/>
          <w:sz w:val="28"/>
          <w:szCs w:val="28"/>
        </w:rPr>
      </w:pPr>
      <w:r w:rsidRPr="007A62B5">
        <w:rPr>
          <w:rFonts w:asciiTheme="majorBidi" w:hAnsiTheme="majorBidi" w:cstheme="majorBidi"/>
          <w:b/>
          <w:bCs/>
          <w:sz w:val="28"/>
          <w:szCs w:val="28"/>
        </w:rPr>
        <w:t>3</w:t>
      </w:r>
      <w:r w:rsidR="00791D57" w:rsidRPr="007A62B5">
        <w:rPr>
          <w:rFonts w:asciiTheme="majorBidi" w:hAnsiTheme="majorBidi" w:cstheme="majorBidi"/>
          <w:b/>
          <w:bCs/>
          <w:sz w:val="28"/>
          <w:szCs w:val="28"/>
        </w:rPr>
        <w:t xml:space="preserve">. </w:t>
      </w:r>
      <w:r w:rsidR="00791D57" w:rsidRPr="008B1520">
        <w:rPr>
          <w:rFonts w:asciiTheme="majorBidi" w:hAnsiTheme="majorBidi" w:cstheme="majorBidi"/>
          <w:b/>
          <w:bCs/>
          <w:sz w:val="24"/>
          <w:szCs w:val="24"/>
        </w:rPr>
        <w:t>Manifestations Physiologiques de la Germination</w:t>
      </w:r>
    </w:p>
    <w:p w:rsidR="00C67B13" w:rsidRPr="003E216F" w:rsidRDefault="00520208"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On constate que l’embryon absorbe massivement de l’eau. La graine va doubler son volume grâce à l’eau et l’embryon augmente de 1200% par hydratation de la partie active.</w:t>
      </w:r>
    </w:p>
    <w:p w:rsidR="001A4EB3" w:rsidRDefault="00520208"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Il existe trois phases : </w:t>
      </w:r>
    </w:p>
    <w:p w:rsidR="001F2823" w:rsidRDefault="00520208"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Phase 1 : caractérisée par une absorption très rapide de l’eau. On parle d’imbibition. Cette phase dure quelques heures et permet l’hydratation des tissus. </w:t>
      </w:r>
    </w:p>
    <w:p w:rsidR="0009410C" w:rsidRDefault="00520208"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Phase 2 : c’est une phase de latence. La teneur en eau reste stable, il y a sortie de la radicule, remise en route du métabolisme et réparation de certains tissus.</w:t>
      </w:r>
    </w:p>
    <w:p w:rsidR="00520208" w:rsidRPr="003E216F" w:rsidRDefault="00520208" w:rsidP="00C233BE">
      <w:pPr>
        <w:pStyle w:val="Paragraphedeliste"/>
        <w:spacing w:after="0"/>
        <w:ind w:left="405"/>
        <w:rPr>
          <w:rFonts w:asciiTheme="majorBidi" w:hAnsiTheme="majorBidi" w:cstheme="majorBidi"/>
          <w:sz w:val="24"/>
          <w:szCs w:val="24"/>
        </w:rPr>
      </w:pPr>
      <w:r w:rsidRPr="003E216F">
        <w:rPr>
          <w:rFonts w:asciiTheme="majorBidi" w:hAnsiTheme="majorBidi" w:cstheme="majorBidi"/>
          <w:sz w:val="24"/>
          <w:szCs w:val="24"/>
        </w:rPr>
        <w:t xml:space="preserve"> - Phase 3 : reprise de l’absorption de l’eau. Il y a croissance de l’embryon, début de la dégradation des réserves et levée des semis.</w:t>
      </w:r>
    </w:p>
    <w:p w:rsidR="00A8613A" w:rsidRPr="003E216F" w:rsidRDefault="00435D84" w:rsidP="00C233BE">
      <w:pPr>
        <w:pStyle w:val="Paragraphedeliste"/>
        <w:spacing w:after="0"/>
        <w:ind w:left="405"/>
        <w:rPr>
          <w:rFonts w:asciiTheme="majorBidi" w:hAnsiTheme="majorBidi" w:cstheme="majorBidi"/>
          <w:sz w:val="24"/>
          <w:szCs w:val="24"/>
        </w:rPr>
      </w:pPr>
      <w:r>
        <w:rPr>
          <w:rFonts w:asciiTheme="majorBidi" w:hAnsiTheme="majorBidi" w:cstheme="majorBidi"/>
          <w:sz w:val="24"/>
          <w:szCs w:val="24"/>
        </w:rPr>
        <w:t xml:space="preserve">                 </w:t>
      </w:r>
      <w:r w:rsidR="0009410C" w:rsidRPr="0009410C">
        <w:rPr>
          <w:rFonts w:asciiTheme="majorBidi" w:hAnsiTheme="majorBidi" w:cstheme="majorBidi"/>
          <w:noProof/>
          <w:sz w:val="24"/>
          <w:szCs w:val="24"/>
          <w:lang w:eastAsia="fr-FR"/>
        </w:rPr>
        <w:drawing>
          <wp:inline distT="0" distB="0" distL="0" distR="0">
            <wp:extent cx="4977231" cy="2595657"/>
            <wp:effectExtent l="1905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srcRect/>
                    <a:stretch>
                      <a:fillRect/>
                    </a:stretch>
                  </pic:blipFill>
                  <pic:spPr bwMode="auto">
                    <a:xfrm>
                      <a:off x="0" y="0"/>
                      <a:ext cx="4979180" cy="2596673"/>
                    </a:xfrm>
                    <a:prstGeom prst="rect">
                      <a:avLst/>
                    </a:prstGeom>
                    <a:noFill/>
                    <a:ln w="9525">
                      <a:noFill/>
                      <a:miter lim="800000"/>
                      <a:headEnd/>
                      <a:tailEnd/>
                    </a:ln>
                  </pic:spPr>
                </pic:pic>
              </a:graphicData>
            </a:graphic>
          </wp:inline>
        </w:drawing>
      </w:r>
    </w:p>
    <w:p w:rsidR="003E216F" w:rsidRPr="00B01205" w:rsidRDefault="00A8613A" w:rsidP="003E216F">
      <w:pPr>
        <w:spacing w:after="0"/>
        <w:rPr>
          <w:rFonts w:asciiTheme="majorBidi" w:hAnsiTheme="majorBidi" w:cstheme="majorBidi"/>
          <w:b/>
          <w:bCs/>
          <w:sz w:val="24"/>
          <w:szCs w:val="24"/>
        </w:rPr>
      </w:pPr>
      <w:r w:rsidRPr="00B01205">
        <w:rPr>
          <w:rFonts w:asciiTheme="majorBidi" w:hAnsiTheme="majorBidi" w:cstheme="majorBidi"/>
          <w:b/>
          <w:bCs/>
          <w:sz w:val="24"/>
          <w:szCs w:val="24"/>
        </w:rPr>
        <w:t xml:space="preserve">La consommation d’oxygène est similaire à la consommation en eau. </w:t>
      </w:r>
    </w:p>
    <w:p w:rsidR="003E216F" w:rsidRPr="000704CA" w:rsidRDefault="00A8613A" w:rsidP="00C233BE">
      <w:pPr>
        <w:pStyle w:val="Paragraphedeliste"/>
        <w:spacing w:after="0"/>
        <w:ind w:left="405"/>
        <w:rPr>
          <w:rFonts w:asciiTheme="majorBidi" w:hAnsiTheme="majorBidi" w:cstheme="majorBidi"/>
          <w:sz w:val="24"/>
          <w:szCs w:val="24"/>
        </w:rPr>
      </w:pPr>
      <w:r w:rsidRPr="000704CA">
        <w:rPr>
          <w:rFonts w:asciiTheme="majorBidi" w:hAnsiTheme="majorBidi" w:cstheme="majorBidi"/>
          <w:b/>
          <w:bCs/>
          <w:sz w:val="24"/>
          <w:szCs w:val="24"/>
        </w:rPr>
        <w:t>- On a une augmentation de la respiration</w:t>
      </w:r>
      <w:r w:rsidRPr="000704CA">
        <w:rPr>
          <w:rFonts w:asciiTheme="majorBidi" w:hAnsiTheme="majorBidi" w:cstheme="majorBidi"/>
          <w:sz w:val="24"/>
          <w:szCs w:val="24"/>
        </w:rPr>
        <w:t xml:space="preserve"> avec une forte consommation d’oxygène car les enzymes des mitochondries sont activées par la présence d’eau.</w:t>
      </w:r>
    </w:p>
    <w:p w:rsidR="003E216F" w:rsidRPr="00291A71" w:rsidRDefault="00A8613A" w:rsidP="00C233BE">
      <w:pPr>
        <w:pStyle w:val="Paragraphedeliste"/>
        <w:spacing w:after="0"/>
        <w:ind w:left="405"/>
        <w:rPr>
          <w:rFonts w:asciiTheme="majorBidi" w:hAnsiTheme="majorBidi" w:cstheme="majorBidi"/>
          <w:sz w:val="24"/>
          <w:szCs w:val="24"/>
        </w:rPr>
      </w:pPr>
      <w:r w:rsidRPr="00291A71">
        <w:rPr>
          <w:rFonts w:asciiTheme="majorBidi" w:hAnsiTheme="majorBidi" w:cstheme="majorBidi"/>
          <w:sz w:val="24"/>
          <w:szCs w:val="24"/>
        </w:rPr>
        <w:t xml:space="preserve"> </w:t>
      </w:r>
      <w:r w:rsidRPr="00291A71">
        <w:rPr>
          <w:rFonts w:asciiTheme="majorBidi" w:hAnsiTheme="majorBidi" w:cstheme="majorBidi"/>
          <w:b/>
          <w:bCs/>
          <w:sz w:val="24"/>
          <w:szCs w:val="24"/>
        </w:rPr>
        <w:t>- On observe une diminution de la consommation d’oxygène</w:t>
      </w:r>
      <w:r w:rsidRPr="00291A71">
        <w:rPr>
          <w:rFonts w:asciiTheme="majorBidi" w:hAnsiTheme="majorBidi" w:cstheme="majorBidi"/>
          <w:sz w:val="24"/>
          <w:szCs w:val="24"/>
        </w:rPr>
        <w:t xml:space="preserve"> due à une répartition non homogène de celui-ci dans la graine à cause d’un développement des mitochondries lent ou une déficience en substrat de bas poids moléculaire. </w:t>
      </w:r>
    </w:p>
    <w:p w:rsidR="00A8613A" w:rsidRPr="00291A71" w:rsidRDefault="00A8613A" w:rsidP="00C233BE">
      <w:pPr>
        <w:pStyle w:val="Paragraphedeliste"/>
        <w:spacing w:after="0"/>
        <w:ind w:left="405"/>
        <w:rPr>
          <w:rFonts w:asciiTheme="majorBidi" w:hAnsiTheme="majorBidi" w:cstheme="majorBidi"/>
          <w:sz w:val="24"/>
          <w:szCs w:val="24"/>
        </w:rPr>
      </w:pPr>
      <w:r w:rsidRPr="00291A71">
        <w:rPr>
          <w:rFonts w:asciiTheme="majorBidi" w:hAnsiTheme="majorBidi" w:cstheme="majorBidi"/>
          <w:b/>
          <w:bCs/>
          <w:sz w:val="24"/>
          <w:szCs w:val="24"/>
        </w:rPr>
        <w:lastRenderedPageBreak/>
        <w:t>- Reprise de la consommation d’oxygène</w:t>
      </w:r>
      <w:r w:rsidRPr="00291A71">
        <w:rPr>
          <w:rFonts w:asciiTheme="majorBidi" w:hAnsiTheme="majorBidi" w:cstheme="majorBidi"/>
          <w:sz w:val="24"/>
          <w:szCs w:val="24"/>
        </w:rPr>
        <w:t xml:space="preserve"> importante due à une nouvelle production de mitochondrie. Toutes ces étapes aboutissent à l’élongation et au grandissement de la radicule et à la consommation des réserves.</w:t>
      </w:r>
    </w:p>
    <w:p w:rsidR="003E216F" w:rsidRPr="00B02395" w:rsidRDefault="003E216F" w:rsidP="00B02395">
      <w:pPr>
        <w:spacing w:after="0"/>
        <w:rPr>
          <w:rFonts w:asciiTheme="majorBidi" w:hAnsiTheme="majorBidi" w:cstheme="majorBidi"/>
          <w:sz w:val="24"/>
          <w:szCs w:val="24"/>
        </w:rPr>
      </w:pPr>
      <w:r w:rsidRPr="00B02395">
        <w:rPr>
          <w:rFonts w:asciiTheme="majorBidi" w:hAnsiTheme="majorBidi" w:cstheme="majorBidi"/>
          <w:b/>
          <w:bCs/>
          <w:sz w:val="24"/>
          <w:szCs w:val="24"/>
        </w:rPr>
        <w:t xml:space="preserve"> La </w:t>
      </w:r>
      <w:proofErr w:type="spellStart"/>
      <w:r w:rsidRPr="00B02395">
        <w:rPr>
          <w:rFonts w:asciiTheme="majorBidi" w:hAnsiTheme="majorBidi" w:cstheme="majorBidi"/>
          <w:b/>
          <w:bCs/>
          <w:sz w:val="24"/>
          <w:szCs w:val="24"/>
        </w:rPr>
        <w:t>protéogenèse</w:t>
      </w:r>
      <w:proofErr w:type="spellEnd"/>
      <w:r w:rsidRPr="00B02395">
        <w:rPr>
          <w:rFonts w:asciiTheme="majorBidi" w:hAnsiTheme="majorBidi" w:cstheme="majorBidi"/>
          <w:sz w:val="24"/>
          <w:szCs w:val="24"/>
        </w:rPr>
        <w:t xml:space="preserve">. </w:t>
      </w:r>
    </w:p>
    <w:p w:rsidR="003E216F" w:rsidRPr="00291A71" w:rsidRDefault="003E216F" w:rsidP="001939A3">
      <w:pPr>
        <w:pStyle w:val="Paragraphedeliste"/>
        <w:spacing w:after="0"/>
        <w:ind w:left="405"/>
        <w:rPr>
          <w:rFonts w:asciiTheme="majorBidi" w:hAnsiTheme="majorBidi" w:cstheme="majorBidi"/>
          <w:sz w:val="24"/>
          <w:szCs w:val="24"/>
        </w:rPr>
      </w:pPr>
      <w:r w:rsidRPr="00291A71">
        <w:rPr>
          <w:rFonts w:asciiTheme="majorBidi" w:hAnsiTheme="majorBidi" w:cstheme="majorBidi"/>
          <w:sz w:val="24"/>
          <w:szCs w:val="24"/>
        </w:rPr>
        <w:t>On a formation de nouvelles protéines à partir d’</w:t>
      </w:r>
      <w:proofErr w:type="spellStart"/>
      <w:r w:rsidRPr="00291A71">
        <w:rPr>
          <w:rFonts w:asciiTheme="majorBidi" w:hAnsiTheme="majorBidi" w:cstheme="majorBidi"/>
          <w:sz w:val="24"/>
          <w:szCs w:val="24"/>
        </w:rPr>
        <w:t>ARNm</w:t>
      </w:r>
      <w:proofErr w:type="spellEnd"/>
      <w:r w:rsidRPr="00291A71">
        <w:rPr>
          <w:rFonts w:asciiTheme="majorBidi" w:hAnsiTheme="majorBidi" w:cstheme="majorBidi"/>
          <w:sz w:val="24"/>
          <w:szCs w:val="24"/>
        </w:rPr>
        <w:t xml:space="preserve"> déjà présents dans la graine. Les protéines synthétisées sont nécessaires à la germination, ce sont des enzymes du métabolisme et elles sont spécifiques de la germination.</w:t>
      </w:r>
    </w:p>
    <w:p w:rsidR="00D36404" w:rsidRPr="00D36404" w:rsidRDefault="00D36404" w:rsidP="00B02395">
      <w:pPr>
        <w:spacing w:after="0"/>
        <w:rPr>
          <w:rFonts w:asciiTheme="majorBidi" w:hAnsiTheme="majorBidi" w:cstheme="majorBidi"/>
          <w:b/>
          <w:bCs/>
          <w:sz w:val="24"/>
          <w:szCs w:val="24"/>
        </w:rPr>
      </w:pPr>
      <w:r w:rsidRPr="00D36404">
        <w:rPr>
          <w:rFonts w:asciiTheme="majorBidi" w:hAnsiTheme="majorBidi" w:cstheme="majorBidi"/>
          <w:b/>
          <w:bCs/>
          <w:sz w:val="24"/>
          <w:szCs w:val="24"/>
        </w:rPr>
        <w:t>Mobilisation des réserves.</w:t>
      </w:r>
    </w:p>
    <w:p w:rsidR="00A47B54" w:rsidRDefault="00D36404" w:rsidP="00B01205">
      <w:pPr>
        <w:spacing w:after="0"/>
        <w:ind w:left="45"/>
        <w:rPr>
          <w:rFonts w:asciiTheme="majorBidi" w:hAnsiTheme="majorBidi" w:cstheme="majorBidi"/>
          <w:sz w:val="24"/>
          <w:szCs w:val="24"/>
        </w:rPr>
      </w:pPr>
      <w:r w:rsidRPr="00D36404">
        <w:rPr>
          <w:rFonts w:asciiTheme="majorBidi" w:hAnsiTheme="majorBidi" w:cstheme="majorBidi"/>
          <w:sz w:val="24"/>
          <w:szCs w:val="24"/>
        </w:rPr>
        <w:t>On di</w:t>
      </w:r>
      <w:r w:rsidR="00A47B54">
        <w:rPr>
          <w:rFonts w:asciiTheme="majorBidi" w:hAnsiTheme="majorBidi" w:cstheme="majorBidi"/>
          <w:sz w:val="24"/>
          <w:szCs w:val="24"/>
        </w:rPr>
        <w:t xml:space="preserve">stingue </w:t>
      </w:r>
      <w:r w:rsidRPr="00D36404">
        <w:rPr>
          <w:rFonts w:asciiTheme="majorBidi" w:hAnsiTheme="majorBidi" w:cstheme="majorBidi"/>
          <w:sz w:val="24"/>
          <w:szCs w:val="24"/>
        </w:rPr>
        <w:t xml:space="preserve"> trois grands types de graines :</w:t>
      </w:r>
    </w:p>
    <w:p w:rsidR="00A47B54" w:rsidRDefault="00D36404" w:rsidP="00B01205">
      <w:pPr>
        <w:spacing w:after="0"/>
        <w:ind w:left="45"/>
        <w:rPr>
          <w:rFonts w:asciiTheme="majorBidi" w:hAnsiTheme="majorBidi" w:cstheme="majorBidi"/>
          <w:sz w:val="24"/>
          <w:szCs w:val="24"/>
        </w:rPr>
      </w:pPr>
      <w:r w:rsidRPr="00D36404">
        <w:rPr>
          <w:rFonts w:asciiTheme="majorBidi" w:hAnsiTheme="majorBidi" w:cstheme="majorBidi"/>
          <w:sz w:val="24"/>
          <w:szCs w:val="24"/>
        </w:rPr>
        <w:t xml:space="preserve"> - Graines amylacées : glucides</w:t>
      </w:r>
    </w:p>
    <w:p w:rsidR="00A47B54" w:rsidRDefault="00D36404" w:rsidP="00B01205">
      <w:pPr>
        <w:spacing w:after="0"/>
        <w:ind w:left="45"/>
        <w:rPr>
          <w:rFonts w:asciiTheme="majorBidi" w:hAnsiTheme="majorBidi" w:cstheme="majorBidi"/>
          <w:sz w:val="24"/>
          <w:szCs w:val="24"/>
        </w:rPr>
      </w:pPr>
      <w:r w:rsidRPr="00D36404">
        <w:rPr>
          <w:rFonts w:asciiTheme="majorBidi" w:hAnsiTheme="majorBidi" w:cstheme="majorBidi"/>
          <w:sz w:val="24"/>
          <w:szCs w:val="24"/>
        </w:rPr>
        <w:t xml:space="preserve"> - Graines oléagineuses : lipides</w:t>
      </w:r>
    </w:p>
    <w:p w:rsidR="00A47B54" w:rsidRDefault="00D36404" w:rsidP="00B01205">
      <w:pPr>
        <w:spacing w:after="0"/>
        <w:ind w:left="45"/>
        <w:rPr>
          <w:rFonts w:asciiTheme="majorBidi" w:hAnsiTheme="majorBidi" w:cstheme="majorBidi"/>
          <w:sz w:val="24"/>
          <w:szCs w:val="24"/>
        </w:rPr>
      </w:pPr>
      <w:r w:rsidRPr="00D36404">
        <w:rPr>
          <w:rFonts w:asciiTheme="majorBidi" w:hAnsiTheme="majorBidi" w:cstheme="majorBidi"/>
          <w:sz w:val="24"/>
          <w:szCs w:val="24"/>
        </w:rPr>
        <w:t xml:space="preserve"> - Graines protéagineuses : protéines </w:t>
      </w:r>
    </w:p>
    <w:p w:rsidR="006933B8" w:rsidRDefault="00D36404" w:rsidP="00F9251B">
      <w:pPr>
        <w:spacing w:after="0"/>
        <w:ind w:left="45"/>
        <w:rPr>
          <w:rFonts w:asciiTheme="majorBidi" w:hAnsiTheme="majorBidi" w:cstheme="majorBidi"/>
          <w:sz w:val="24"/>
          <w:szCs w:val="24"/>
          <w:rtl/>
          <w:lang w:bidi="ar-DZ"/>
        </w:rPr>
      </w:pPr>
      <w:r w:rsidRPr="00D36404">
        <w:rPr>
          <w:rFonts w:asciiTheme="majorBidi" w:hAnsiTheme="majorBidi" w:cstheme="majorBidi"/>
          <w:sz w:val="24"/>
          <w:szCs w:val="24"/>
        </w:rPr>
        <w:t>Les réserves occupent 80% de la taille de la graine.</w:t>
      </w:r>
    </w:p>
    <w:p w:rsidR="001F2823" w:rsidRDefault="0077131C" w:rsidP="008B1520">
      <w:pPr>
        <w:spacing w:after="0"/>
        <w:ind w:left="45"/>
        <w:rPr>
          <w:rFonts w:asciiTheme="majorBidi" w:hAnsiTheme="majorBidi" w:cstheme="majorBidi"/>
          <w:sz w:val="24"/>
          <w:szCs w:val="24"/>
        </w:rPr>
      </w:pPr>
      <w:r w:rsidRPr="0077131C">
        <w:rPr>
          <w:rFonts w:asciiTheme="majorBidi" w:hAnsiTheme="majorBidi" w:cstheme="majorBidi"/>
          <w:sz w:val="24"/>
          <w:szCs w:val="24"/>
        </w:rPr>
        <w:t xml:space="preserve">Lors du catabolisme il y a utilisation des réserves. </w:t>
      </w:r>
    </w:p>
    <w:p w:rsidR="0077131C" w:rsidRDefault="0077131C" w:rsidP="008B1520">
      <w:pPr>
        <w:spacing w:after="0"/>
        <w:ind w:left="45"/>
        <w:rPr>
          <w:rFonts w:asciiTheme="majorBidi" w:hAnsiTheme="majorBidi" w:cstheme="majorBidi"/>
          <w:sz w:val="24"/>
          <w:szCs w:val="24"/>
        </w:rPr>
      </w:pPr>
      <w:r w:rsidRPr="001F2823">
        <w:rPr>
          <w:rFonts w:asciiTheme="majorBidi" w:hAnsiTheme="majorBidi" w:cstheme="majorBidi"/>
          <w:b/>
          <w:bCs/>
          <w:sz w:val="24"/>
          <w:szCs w:val="24"/>
        </w:rPr>
        <w:t>Le catabolisme glucidique</w:t>
      </w:r>
      <w:r w:rsidRPr="0077131C">
        <w:rPr>
          <w:rFonts w:asciiTheme="majorBidi" w:hAnsiTheme="majorBidi" w:cstheme="majorBidi"/>
          <w:sz w:val="24"/>
          <w:szCs w:val="24"/>
        </w:rPr>
        <w:t xml:space="preserve"> est alimenté par l’amidon et le saccharose. On a formation d’une forme glucidique de transport. L’amidon est dégradé par trois enzymes selon le schéma suivant :</w:t>
      </w:r>
      <w:r w:rsidR="008B1520">
        <w:rPr>
          <w:rFonts w:asciiTheme="majorBidi" w:hAnsiTheme="majorBidi" w:cstheme="majorBidi"/>
          <w:sz w:val="24"/>
          <w:szCs w:val="24"/>
        </w:rPr>
        <w:t xml:space="preserve"> </w:t>
      </w:r>
      <w:r w:rsidR="00443F95" w:rsidRPr="00443F95">
        <w:rPr>
          <w:rFonts w:asciiTheme="majorBidi" w:hAnsiTheme="majorBidi" w:cstheme="majorBidi"/>
          <w:sz w:val="24"/>
          <w:szCs w:val="24"/>
        </w:rPr>
        <w:t xml:space="preserve">On parle de complexe </w:t>
      </w:r>
      <w:proofErr w:type="spellStart"/>
      <w:r w:rsidR="00443F95" w:rsidRPr="00443F95">
        <w:rPr>
          <w:rFonts w:asciiTheme="majorBidi" w:hAnsiTheme="majorBidi" w:cstheme="majorBidi"/>
          <w:sz w:val="24"/>
          <w:szCs w:val="24"/>
        </w:rPr>
        <w:t>amylasique</w:t>
      </w:r>
      <w:proofErr w:type="spellEnd"/>
    </w:p>
    <w:p w:rsidR="00B02395" w:rsidRDefault="00B02395" w:rsidP="00B02395">
      <w:pPr>
        <w:spacing w:after="0"/>
        <w:ind w:left="45"/>
        <w:rPr>
          <w:rFonts w:asciiTheme="majorBidi" w:hAnsiTheme="majorBidi" w:cstheme="majorBidi"/>
          <w:sz w:val="24"/>
          <w:szCs w:val="24"/>
        </w:rPr>
      </w:pPr>
      <w:r>
        <w:rPr>
          <w:rFonts w:asciiTheme="majorBidi" w:hAnsiTheme="majorBidi" w:cstheme="majorBidi"/>
          <w:sz w:val="24"/>
          <w:szCs w:val="24"/>
        </w:rPr>
        <w:t xml:space="preserve">           </w:t>
      </w:r>
      <w:r w:rsidR="00C04A4B">
        <w:rPr>
          <w:rFonts w:asciiTheme="majorBidi" w:hAnsiTheme="majorBidi" w:cstheme="majorBidi"/>
          <w:noProof/>
          <w:sz w:val="24"/>
          <w:szCs w:val="24"/>
          <w:lang w:eastAsia="fr-FR"/>
        </w:rPr>
        <w:drawing>
          <wp:inline distT="0" distB="0" distL="0" distR="0">
            <wp:extent cx="3875799" cy="107996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3879182" cy="1080903"/>
                    </a:xfrm>
                    <a:prstGeom prst="rect">
                      <a:avLst/>
                    </a:prstGeom>
                    <a:noFill/>
                    <a:ln w="9525">
                      <a:noFill/>
                      <a:miter lim="800000"/>
                      <a:headEnd/>
                      <a:tailEnd/>
                    </a:ln>
                  </pic:spPr>
                </pic:pic>
              </a:graphicData>
            </a:graphic>
          </wp:inline>
        </w:drawing>
      </w:r>
    </w:p>
    <w:p w:rsidR="00034B3B" w:rsidRDefault="00034B3B" w:rsidP="00034B3B">
      <w:pPr>
        <w:spacing w:after="0"/>
        <w:ind w:left="45"/>
        <w:rPr>
          <w:rFonts w:asciiTheme="majorBidi" w:hAnsiTheme="majorBidi" w:cstheme="majorBidi"/>
          <w:b/>
          <w:bCs/>
          <w:sz w:val="24"/>
          <w:szCs w:val="24"/>
        </w:rPr>
      </w:pPr>
      <w:r>
        <w:rPr>
          <w:rFonts w:asciiTheme="majorBidi" w:hAnsiTheme="majorBidi" w:cstheme="majorBidi"/>
          <w:b/>
          <w:bCs/>
          <w:sz w:val="24"/>
          <w:szCs w:val="24"/>
        </w:rPr>
        <w:t xml:space="preserve">RQ : </w:t>
      </w:r>
      <w:r w:rsidRPr="00034B3B">
        <w:rPr>
          <w:rFonts w:asciiTheme="majorBidi" w:hAnsiTheme="majorBidi" w:cstheme="majorBidi"/>
          <w:sz w:val="24"/>
          <w:szCs w:val="24"/>
        </w:rPr>
        <w:t>La dégradation de l’amidon est déclenchée par la libération de l’acide gibbérellique par l’embryon qui active l’expression de α-amylase</w:t>
      </w:r>
      <w:r>
        <w:rPr>
          <w:rFonts w:asciiTheme="majorBidi" w:hAnsiTheme="majorBidi" w:cstheme="majorBidi"/>
          <w:b/>
          <w:bCs/>
          <w:sz w:val="24"/>
          <w:szCs w:val="24"/>
        </w:rPr>
        <w:t>.</w:t>
      </w:r>
    </w:p>
    <w:p w:rsidR="00034B3B" w:rsidRDefault="00034B3B" w:rsidP="00381EF5">
      <w:pPr>
        <w:spacing w:after="0"/>
        <w:ind w:left="45"/>
        <w:rPr>
          <w:rFonts w:asciiTheme="majorBidi" w:hAnsiTheme="majorBidi" w:cstheme="majorBidi"/>
          <w:b/>
          <w:bCs/>
          <w:sz w:val="24"/>
          <w:szCs w:val="24"/>
        </w:rPr>
      </w:pPr>
    </w:p>
    <w:p w:rsidR="001939A3" w:rsidRPr="00B02395" w:rsidRDefault="00443F95" w:rsidP="00381EF5">
      <w:pPr>
        <w:spacing w:after="0"/>
        <w:ind w:left="45"/>
        <w:rPr>
          <w:rFonts w:asciiTheme="majorBidi" w:hAnsiTheme="majorBidi" w:cstheme="majorBidi"/>
          <w:sz w:val="24"/>
          <w:szCs w:val="24"/>
        </w:rPr>
      </w:pPr>
      <w:r w:rsidRPr="00B02395">
        <w:rPr>
          <w:rFonts w:asciiTheme="majorBidi" w:hAnsiTheme="majorBidi" w:cstheme="majorBidi"/>
          <w:b/>
          <w:bCs/>
          <w:sz w:val="24"/>
          <w:szCs w:val="24"/>
        </w:rPr>
        <w:t>Le catabolisme lipidique</w:t>
      </w:r>
      <w:r w:rsidRPr="00B02395">
        <w:rPr>
          <w:rFonts w:asciiTheme="majorBidi" w:hAnsiTheme="majorBidi" w:cstheme="majorBidi"/>
          <w:sz w:val="24"/>
          <w:szCs w:val="24"/>
        </w:rPr>
        <w:t xml:space="preserve"> concerne la dégradation des lipides en triglycérides par des </w:t>
      </w:r>
      <w:proofErr w:type="spellStart"/>
      <w:r w:rsidRPr="00B02395">
        <w:rPr>
          <w:rFonts w:asciiTheme="majorBidi" w:hAnsiTheme="majorBidi" w:cstheme="majorBidi"/>
          <w:sz w:val="24"/>
          <w:szCs w:val="24"/>
        </w:rPr>
        <w:t>glyoxysomes</w:t>
      </w:r>
      <w:proofErr w:type="spellEnd"/>
      <w:r w:rsidRPr="00B02395">
        <w:rPr>
          <w:rFonts w:asciiTheme="majorBidi" w:hAnsiTheme="majorBidi" w:cstheme="majorBidi"/>
          <w:sz w:val="24"/>
          <w:szCs w:val="24"/>
        </w:rPr>
        <w:t xml:space="preserve"> (peti</w:t>
      </w:r>
      <w:r w:rsidR="00034B3B">
        <w:rPr>
          <w:rFonts w:asciiTheme="majorBidi" w:hAnsiTheme="majorBidi" w:cstheme="majorBidi"/>
          <w:sz w:val="24"/>
          <w:szCs w:val="24"/>
        </w:rPr>
        <w:t>ts organites à membrane simple) qui conduit à la formation de glycérols et acides gras</w:t>
      </w:r>
      <w:r w:rsidRPr="00B02395">
        <w:rPr>
          <w:rFonts w:asciiTheme="majorBidi" w:hAnsiTheme="majorBidi" w:cstheme="majorBidi"/>
          <w:sz w:val="24"/>
          <w:szCs w:val="24"/>
        </w:rPr>
        <w:t xml:space="preserve"> </w:t>
      </w:r>
    </w:p>
    <w:p w:rsidR="00DD241B" w:rsidRDefault="00DD241B" w:rsidP="00381EF5">
      <w:pPr>
        <w:spacing w:after="0"/>
        <w:rPr>
          <w:rFonts w:asciiTheme="majorBidi" w:hAnsiTheme="majorBidi" w:cstheme="majorBidi"/>
          <w:sz w:val="24"/>
          <w:szCs w:val="24"/>
        </w:rPr>
      </w:pPr>
      <w:r w:rsidRPr="00B02395">
        <w:rPr>
          <w:rFonts w:asciiTheme="majorBidi" w:hAnsiTheme="majorBidi" w:cstheme="majorBidi"/>
          <w:b/>
          <w:bCs/>
          <w:sz w:val="24"/>
          <w:szCs w:val="24"/>
        </w:rPr>
        <w:t>Le catabolisme protéique</w:t>
      </w:r>
      <w:r w:rsidRPr="00B02395">
        <w:rPr>
          <w:rFonts w:asciiTheme="majorBidi" w:hAnsiTheme="majorBidi" w:cstheme="majorBidi"/>
          <w:sz w:val="24"/>
          <w:szCs w:val="24"/>
        </w:rPr>
        <w:t xml:space="preserve"> est alimenté par les protéines de réserves qui sont de différents types : albumine, globuline, </w:t>
      </w:r>
      <w:proofErr w:type="spellStart"/>
      <w:r w:rsidRPr="00B02395">
        <w:rPr>
          <w:rFonts w:asciiTheme="majorBidi" w:hAnsiTheme="majorBidi" w:cstheme="majorBidi"/>
          <w:sz w:val="24"/>
          <w:szCs w:val="24"/>
        </w:rPr>
        <w:t>glutéline</w:t>
      </w:r>
      <w:proofErr w:type="spellEnd"/>
      <w:r w:rsidR="00381EF5">
        <w:rPr>
          <w:rFonts w:asciiTheme="majorBidi" w:hAnsiTheme="majorBidi" w:cstheme="majorBidi"/>
          <w:sz w:val="24"/>
          <w:szCs w:val="24"/>
        </w:rPr>
        <w:t>.</w:t>
      </w:r>
      <w:r w:rsidR="00034B3B">
        <w:rPr>
          <w:rFonts w:asciiTheme="majorBidi" w:hAnsiTheme="majorBidi" w:cstheme="majorBidi"/>
          <w:sz w:val="24"/>
          <w:szCs w:val="24"/>
        </w:rPr>
        <w:t xml:space="preserve"> La dégradation a lieu dans les tissus de réserves et favorise la libération d’acides aminés par action d’enzymes protéiques.</w:t>
      </w:r>
    </w:p>
    <w:p w:rsidR="00B02395" w:rsidRDefault="00B02395" w:rsidP="00B02395">
      <w:pPr>
        <w:spacing w:after="0"/>
        <w:rPr>
          <w:rFonts w:asciiTheme="majorBidi" w:hAnsiTheme="majorBidi" w:cstheme="majorBidi"/>
          <w:sz w:val="24"/>
          <w:szCs w:val="24"/>
        </w:rPr>
      </w:pPr>
    </w:p>
    <w:p w:rsidR="00B02395" w:rsidRPr="00B02395" w:rsidRDefault="00B02395" w:rsidP="00B02395">
      <w:pPr>
        <w:spacing w:after="0"/>
        <w:rPr>
          <w:rFonts w:asciiTheme="majorBidi" w:hAnsiTheme="majorBidi" w:cstheme="majorBidi"/>
          <w:sz w:val="24"/>
          <w:szCs w:val="24"/>
        </w:rPr>
      </w:pPr>
    </w:p>
    <w:sectPr w:rsidR="00B02395" w:rsidRPr="00B02395" w:rsidSect="00D167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674"/>
    <w:multiLevelType w:val="hybridMultilevel"/>
    <w:tmpl w:val="6BE81636"/>
    <w:lvl w:ilvl="0" w:tplc="B55AE400">
      <w:start w:val="1"/>
      <w:numFmt w:val="decimal"/>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631B4B4B"/>
    <w:multiLevelType w:val="hybridMultilevel"/>
    <w:tmpl w:val="214CD8F4"/>
    <w:lvl w:ilvl="0" w:tplc="00CA9900">
      <w:start w:val="3"/>
      <w:numFmt w:val="decimal"/>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707C1574"/>
    <w:multiLevelType w:val="hybridMultilevel"/>
    <w:tmpl w:val="72BE87C2"/>
    <w:lvl w:ilvl="0" w:tplc="19BCB5DE">
      <w:start w:val="3"/>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nsid w:val="70B10B1C"/>
    <w:multiLevelType w:val="hybridMultilevel"/>
    <w:tmpl w:val="7382CCAE"/>
    <w:lvl w:ilvl="0" w:tplc="70DC0894">
      <w:start w:val="1"/>
      <w:numFmt w:val="lowerLetter"/>
      <w:lvlText w:val="%1."/>
      <w:lvlJc w:val="left"/>
      <w:pPr>
        <w:ind w:left="405" w:hanging="360"/>
      </w:pPr>
      <w:rPr>
        <w:rFonts w:hint="default"/>
        <w:b/>
      </w:rPr>
    </w:lvl>
    <w:lvl w:ilvl="1" w:tplc="040C0019">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nsid w:val="7B890E89"/>
    <w:multiLevelType w:val="hybridMultilevel"/>
    <w:tmpl w:val="CE042864"/>
    <w:lvl w:ilvl="0" w:tplc="E1065002">
      <w:start w:val="4"/>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70627"/>
    <w:rsid w:val="00003B37"/>
    <w:rsid w:val="00003BE4"/>
    <w:rsid w:val="00003CB3"/>
    <w:rsid w:val="00004F48"/>
    <w:rsid w:val="000065B4"/>
    <w:rsid w:val="00011203"/>
    <w:rsid w:val="000112B0"/>
    <w:rsid w:val="000152E3"/>
    <w:rsid w:val="00021623"/>
    <w:rsid w:val="000226A1"/>
    <w:rsid w:val="000228F8"/>
    <w:rsid w:val="00023DF9"/>
    <w:rsid w:val="00031F8F"/>
    <w:rsid w:val="00034B3B"/>
    <w:rsid w:val="00034FDC"/>
    <w:rsid w:val="000424F3"/>
    <w:rsid w:val="0005176C"/>
    <w:rsid w:val="00052602"/>
    <w:rsid w:val="00063A28"/>
    <w:rsid w:val="00064ED0"/>
    <w:rsid w:val="0006533B"/>
    <w:rsid w:val="00066892"/>
    <w:rsid w:val="00067B01"/>
    <w:rsid w:val="000700CE"/>
    <w:rsid w:val="000704CA"/>
    <w:rsid w:val="00070899"/>
    <w:rsid w:val="000711BB"/>
    <w:rsid w:val="00071442"/>
    <w:rsid w:val="000717AB"/>
    <w:rsid w:val="00073573"/>
    <w:rsid w:val="00073C47"/>
    <w:rsid w:val="00073FDE"/>
    <w:rsid w:val="00076194"/>
    <w:rsid w:val="00081DBB"/>
    <w:rsid w:val="000829A3"/>
    <w:rsid w:val="00083601"/>
    <w:rsid w:val="00083871"/>
    <w:rsid w:val="000907BE"/>
    <w:rsid w:val="00090812"/>
    <w:rsid w:val="000929FF"/>
    <w:rsid w:val="00092A8B"/>
    <w:rsid w:val="0009410C"/>
    <w:rsid w:val="00097643"/>
    <w:rsid w:val="000A4C95"/>
    <w:rsid w:val="000A6803"/>
    <w:rsid w:val="000B1ED9"/>
    <w:rsid w:val="000B25EC"/>
    <w:rsid w:val="000B27DE"/>
    <w:rsid w:val="000B2DA5"/>
    <w:rsid w:val="000B3C4F"/>
    <w:rsid w:val="000B7AB0"/>
    <w:rsid w:val="000C5AE2"/>
    <w:rsid w:val="000C66DB"/>
    <w:rsid w:val="000C7008"/>
    <w:rsid w:val="000D1FF9"/>
    <w:rsid w:val="000D20E4"/>
    <w:rsid w:val="000D29B5"/>
    <w:rsid w:val="000D5ABB"/>
    <w:rsid w:val="000D6185"/>
    <w:rsid w:val="000D6BC5"/>
    <w:rsid w:val="000D7530"/>
    <w:rsid w:val="000D7949"/>
    <w:rsid w:val="000E2DF0"/>
    <w:rsid w:val="000E6E54"/>
    <w:rsid w:val="000E78CE"/>
    <w:rsid w:val="000F181C"/>
    <w:rsid w:val="000F327F"/>
    <w:rsid w:val="000F37C6"/>
    <w:rsid w:val="000F58BD"/>
    <w:rsid w:val="00101BD4"/>
    <w:rsid w:val="00101EA7"/>
    <w:rsid w:val="00102603"/>
    <w:rsid w:val="00103AA7"/>
    <w:rsid w:val="00106A64"/>
    <w:rsid w:val="00106C93"/>
    <w:rsid w:val="00112727"/>
    <w:rsid w:val="0012183F"/>
    <w:rsid w:val="001238B5"/>
    <w:rsid w:val="0013125E"/>
    <w:rsid w:val="00133768"/>
    <w:rsid w:val="001342E1"/>
    <w:rsid w:val="0013666A"/>
    <w:rsid w:val="00137D2F"/>
    <w:rsid w:val="001449D8"/>
    <w:rsid w:val="00144D3B"/>
    <w:rsid w:val="0015191D"/>
    <w:rsid w:val="00155DA6"/>
    <w:rsid w:val="0015635B"/>
    <w:rsid w:val="001566A4"/>
    <w:rsid w:val="00156E39"/>
    <w:rsid w:val="00162FA0"/>
    <w:rsid w:val="00166497"/>
    <w:rsid w:val="00170540"/>
    <w:rsid w:val="00171ADB"/>
    <w:rsid w:val="00180F71"/>
    <w:rsid w:val="0018205C"/>
    <w:rsid w:val="00182AC8"/>
    <w:rsid w:val="001836E7"/>
    <w:rsid w:val="00184659"/>
    <w:rsid w:val="00186455"/>
    <w:rsid w:val="00187795"/>
    <w:rsid w:val="0019272A"/>
    <w:rsid w:val="001939A3"/>
    <w:rsid w:val="00196DCA"/>
    <w:rsid w:val="001A1D19"/>
    <w:rsid w:val="001A49EC"/>
    <w:rsid w:val="001A4DDD"/>
    <w:rsid w:val="001A4EB3"/>
    <w:rsid w:val="001B1729"/>
    <w:rsid w:val="001B244F"/>
    <w:rsid w:val="001B3191"/>
    <w:rsid w:val="001B3798"/>
    <w:rsid w:val="001B43F1"/>
    <w:rsid w:val="001B584A"/>
    <w:rsid w:val="001B60AB"/>
    <w:rsid w:val="001C26B0"/>
    <w:rsid w:val="001C3E31"/>
    <w:rsid w:val="001C7F61"/>
    <w:rsid w:val="001E0FDE"/>
    <w:rsid w:val="001E4AE4"/>
    <w:rsid w:val="001E5317"/>
    <w:rsid w:val="001E7B40"/>
    <w:rsid w:val="001F2687"/>
    <w:rsid w:val="001F2696"/>
    <w:rsid w:val="001F2823"/>
    <w:rsid w:val="001F40BA"/>
    <w:rsid w:val="001F43E6"/>
    <w:rsid w:val="001F528C"/>
    <w:rsid w:val="001F5788"/>
    <w:rsid w:val="001F68DA"/>
    <w:rsid w:val="00207072"/>
    <w:rsid w:val="002077CF"/>
    <w:rsid w:val="00210A39"/>
    <w:rsid w:val="00212F9F"/>
    <w:rsid w:val="002135E1"/>
    <w:rsid w:val="00215C15"/>
    <w:rsid w:val="0021668B"/>
    <w:rsid w:val="00216A20"/>
    <w:rsid w:val="002171AF"/>
    <w:rsid w:val="002173EE"/>
    <w:rsid w:val="00217F72"/>
    <w:rsid w:val="00220B5A"/>
    <w:rsid w:val="00221039"/>
    <w:rsid w:val="00222BBD"/>
    <w:rsid w:val="00222E11"/>
    <w:rsid w:val="002243B8"/>
    <w:rsid w:val="00226FD3"/>
    <w:rsid w:val="0023122D"/>
    <w:rsid w:val="002317B2"/>
    <w:rsid w:val="00232202"/>
    <w:rsid w:val="00232E52"/>
    <w:rsid w:val="00232FBB"/>
    <w:rsid w:val="00233EDC"/>
    <w:rsid w:val="00237696"/>
    <w:rsid w:val="002442A8"/>
    <w:rsid w:val="00245573"/>
    <w:rsid w:val="00245DD3"/>
    <w:rsid w:val="00250689"/>
    <w:rsid w:val="00252AEA"/>
    <w:rsid w:val="00254795"/>
    <w:rsid w:val="00260BE9"/>
    <w:rsid w:val="00262166"/>
    <w:rsid w:val="0026630E"/>
    <w:rsid w:val="00270CD1"/>
    <w:rsid w:val="00274149"/>
    <w:rsid w:val="00274838"/>
    <w:rsid w:val="00274F98"/>
    <w:rsid w:val="00284BD8"/>
    <w:rsid w:val="00287496"/>
    <w:rsid w:val="0029126A"/>
    <w:rsid w:val="00291A71"/>
    <w:rsid w:val="002976BB"/>
    <w:rsid w:val="002A2E05"/>
    <w:rsid w:val="002B0DC1"/>
    <w:rsid w:val="002B5004"/>
    <w:rsid w:val="002C1879"/>
    <w:rsid w:val="002D1C53"/>
    <w:rsid w:val="002D4AE0"/>
    <w:rsid w:val="002D578C"/>
    <w:rsid w:val="002E3767"/>
    <w:rsid w:val="002E48A6"/>
    <w:rsid w:val="002E4A2C"/>
    <w:rsid w:val="002E5E76"/>
    <w:rsid w:val="002E6E5E"/>
    <w:rsid w:val="002F153E"/>
    <w:rsid w:val="002F1A6C"/>
    <w:rsid w:val="002F3C2B"/>
    <w:rsid w:val="002F3EF6"/>
    <w:rsid w:val="002F5B4E"/>
    <w:rsid w:val="002F7EB7"/>
    <w:rsid w:val="00301998"/>
    <w:rsid w:val="003036B3"/>
    <w:rsid w:val="00304D71"/>
    <w:rsid w:val="003065B1"/>
    <w:rsid w:val="003106AB"/>
    <w:rsid w:val="00311F05"/>
    <w:rsid w:val="0031209F"/>
    <w:rsid w:val="003124FA"/>
    <w:rsid w:val="0031275E"/>
    <w:rsid w:val="00314B5E"/>
    <w:rsid w:val="00315842"/>
    <w:rsid w:val="00322ACA"/>
    <w:rsid w:val="00327C19"/>
    <w:rsid w:val="00331563"/>
    <w:rsid w:val="00334583"/>
    <w:rsid w:val="0033569E"/>
    <w:rsid w:val="003362F0"/>
    <w:rsid w:val="00336F78"/>
    <w:rsid w:val="00343FA4"/>
    <w:rsid w:val="0034623C"/>
    <w:rsid w:val="00355DBB"/>
    <w:rsid w:val="0035717D"/>
    <w:rsid w:val="00363A76"/>
    <w:rsid w:val="00364CC5"/>
    <w:rsid w:val="003652B4"/>
    <w:rsid w:val="00367045"/>
    <w:rsid w:val="003706B5"/>
    <w:rsid w:val="003728B5"/>
    <w:rsid w:val="003768EB"/>
    <w:rsid w:val="00376C33"/>
    <w:rsid w:val="00376D5E"/>
    <w:rsid w:val="00381EF5"/>
    <w:rsid w:val="00383702"/>
    <w:rsid w:val="00386B74"/>
    <w:rsid w:val="0038777A"/>
    <w:rsid w:val="003948D6"/>
    <w:rsid w:val="00396E3F"/>
    <w:rsid w:val="003A1879"/>
    <w:rsid w:val="003A336D"/>
    <w:rsid w:val="003A3962"/>
    <w:rsid w:val="003A3FF8"/>
    <w:rsid w:val="003A7136"/>
    <w:rsid w:val="003B3A29"/>
    <w:rsid w:val="003B3FFA"/>
    <w:rsid w:val="003B5D1B"/>
    <w:rsid w:val="003C197E"/>
    <w:rsid w:val="003C1AD2"/>
    <w:rsid w:val="003C4A9F"/>
    <w:rsid w:val="003C4F2B"/>
    <w:rsid w:val="003C6A07"/>
    <w:rsid w:val="003C6D84"/>
    <w:rsid w:val="003D1B86"/>
    <w:rsid w:val="003D6113"/>
    <w:rsid w:val="003D651B"/>
    <w:rsid w:val="003D77EC"/>
    <w:rsid w:val="003E1F46"/>
    <w:rsid w:val="003E216F"/>
    <w:rsid w:val="003E32CB"/>
    <w:rsid w:val="003E3C1C"/>
    <w:rsid w:val="003F23AA"/>
    <w:rsid w:val="003F56EF"/>
    <w:rsid w:val="0040081D"/>
    <w:rsid w:val="0040391E"/>
    <w:rsid w:val="00404E80"/>
    <w:rsid w:val="00407235"/>
    <w:rsid w:val="004109E8"/>
    <w:rsid w:val="00410DE2"/>
    <w:rsid w:val="00411B46"/>
    <w:rsid w:val="00413275"/>
    <w:rsid w:val="0041770A"/>
    <w:rsid w:val="00422593"/>
    <w:rsid w:val="00422E14"/>
    <w:rsid w:val="00423E84"/>
    <w:rsid w:val="004272FE"/>
    <w:rsid w:val="004347C5"/>
    <w:rsid w:val="00435D84"/>
    <w:rsid w:val="00436502"/>
    <w:rsid w:val="0043719F"/>
    <w:rsid w:val="00437A02"/>
    <w:rsid w:val="00437FB3"/>
    <w:rsid w:val="00441F11"/>
    <w:rsid w:val="0044359E"/>
    <w:rsid w:val="00443F95"/>
    <w:rsid w:val="004448A2"/>
    <w:rsid w:val="00447A9D"/>
    <w:rsid w:val="00451C91"/>
    <w:rsid w:val="00452A45"/>
    <w:rsid w:val="00453892"/>
    <w:rsid w:val="00453D98"/>
    <w:rsid w:val="00454F7D"/>
    <w:rsid w:val="00455E94"/>
    <w:rsid w:val="004562FF"/>
    <w:rsid w:val="00457C51"/>
    <w:rsid w:val="00462537"/>
    <w:rsid w:val="00464763"/>
    <w:rsid w:val="00464851"/>
    <w:rsid w:val="0046548A"/>
    <w:rsid w:val="00465675"/>
    <w:rsid w:val="00466727"/>
    <w:rsid w:val="00466B72"/>
    <w:rsid w:val="00466DE6"/>
    <w:rsid w:val="00467EAF"/>
    <w:rsid w:val="00467FA3"/>
    <w:rsid w:val="0047108B"/>
    <w:rsid w:val="00474BA8"/>
    <w:rsid w:val="00474FED"/>
    <w:rsid w:val="00484ADD"/>
    <w:rsid w:val="00485B41"/>
    <w:rsid w:val="00485EF6"/>
    <w:rsid w:val="0048621D"/>
    <w:rsid w:val="00487FCC"/>
    <w:rsid w:val="00492F83"/>
    <w:rsid w:val="00496AB7"/>
    <w:rsid w:val="00496B78"/>
    <w:rsid w:val="00497840"/>
    <w:rsid w:val="004A2BC3"/>
    <w:rsid w:val="004A2FCE"/>
    <w:rsid w:val="004A4763"/>
    <w:rsid w:val="004A5EFF"/>
    <w:rsid w:val="004A6CF3"/>
    <w:rsid w:val="004B2761"/>
    <w:rsid w:val="004B63A0"/>
    <w:rsid w:val="004B68D0"/>
    <w:rsid w:val="004B7038"/>
    <w:rsid w:val="004C11DC"/>
    <w:rsid w:val="004C124B"/>
    <w:rsid w:val="004C2FC2"/>
    <w:rsid w:val="004C62AA"/>
    <w:rsid w:val="004C6971"/>
    <w:rsid w:val="004D14CD"/>
    <w:rsid w:val="004D516F"/>
    <w:rsid w:val="004D5F40"/>
    <w:rsid w:val="004E06CC"/>
    <w:rsid w:val="004E2DC3"/>
    <w:rsid w:val="004E3533"/>
    <w:rsid w:val="004E3A26"/>
    <w:rsid w:val="004E5EB5"/>
    <w:rsid w:val="004E64E0"/>
    <w:rsid w:val="004E77F0"/>
    <w:rsid w:val="004F0097"/>
    <w:rsid w:val="004F39D5"/>
    <w:rsid w:val="004F3AC7"/>
    <w:rsid w:val="004F3D68"/>
    <w:rsid w:val="004F4142"/>
    <w:rsid w:val="004F536D"/>
    <w:rsid w:val="004F643D"/>
    <w:rsid w:val="00502836"/>
    <w:rsid w:val="00503D7F"/>
    <w:rsid w:val="00504BC8"/>
    <w:rsid w:val="005120AB"/>
    <w:rsid w:val="00513344"/>
    <w:rsid w:val="005143EC"/>
    <w:rsid w:val="005164CA"/>
    <w:rsid w:val="00520208"/>
    <w:rsid w:val="00522FEE"/>
    <w:rsid w:val="0052357F"/>
    <w:rsid w:val="00525377"/>
    <w:rsid w:val="00525732"/>
    <w:rsid w:val="00525AAF"/>
    <w:rsid w:val="00525B9C"/>
    <w:rsid w:val="0052665A"/>
    <w:rsid w:val="00531DCA"/>
    <w:rsid w:val="00533E18"/>
    <w:rsid w:val="0053750D"/>
    <w:rsid w:val="00541DDC"/>
    <w:rsid w:val="00545613"/>
    <w:rsid w:val="00551B6E"/>
    <w:rsid w:val="005561B4"/>
    <w:rsid w:val="005562B4"/>
    <w:rsid w:val="00562707"/>
    <w:rsid w:val="0056685C"/>
    <w:rsid w:val="00566D08"/>
    <w:rsid w:val="00570627"/>
    <w:rsid w:val="00572432"/>
    <w:rsid w:val="0057346E"/>
    <w:rsid w:val="00573A88"/>
    <w:rsid w:val="005748B3"/>
    <w:rsid w:val="00575A68"/>
    <w:rsid w:val="0057770B"/>
    <w:rsid w:val="005819B3"/>
    <w:rsid w:val="00581CDB"/>
    <w:rsid w:val="00582EBF"/>
    <w:rsid w:val="0058643E"/>
    <w:rsid w:val="005866EE"/>
    <w:rsid w:val="005870A0"/>
    <w:rsid w:val="00587EB0"/>
    <w:rsid w:val="0059223F"/>
    <w:rsid w:val="005949F7"/>
    <w:rsid w:val="00596EAB"/>
    <w:rsid w:val="005A161F"/>
    <w:rsid w:val="005A58CF"/>
    <w:rsid w:val="005B01CE"/>
    <w:rsid w:val="005B2CC0"/>
    <w:rsid w:val="005B36FE"/>
    <w:rsid w:val="005B7B93"/>
    <w:rsid w:val="005C50BE"/>
    <w:rsid w:val="005C5EBA"/>
    <w:rsid w:val="005D66B2"/>
    <w:rsid w:val="005D78AE"/>
    <w:rsid w:val="005E197B"/>
    <w:rsid w:val="005E27A8"/>
    <w:rsid w:val="005E4426"/>
    <w:rsid w:val="005F2A5F"/>
    <w:rsid w:val="005F2C6B"/>
    <w:rsid w:val="005F53DE"/>
    <w:rsid w:val="005F5852"/>
    <w:rsid w:val="005F7110"/>
    <w:rsid w:val="00600752"/>
    <w:rsid w:val="00600B6A"/>
    <w:rsid w:val="00604AE5"/>
    <w:rsid w:val="00605E73"/>
    <w:rsid w:val="00607186"/>
    <w:rsid w:val="00607EA5"/>
    <w:rsid w:val="00610DA1"/>
    <w:rsid w:val="0061410C"/>
    <w:rsid w:val="006157C8"/>
    <w:rsid w:val="00616888"/>
    <w:rsid w:val="00617278"/>
    <w:rsid w:val="00622C15"/>
    <w:rsid w:val="00623641"/>
    <w:rsid w:val="0062476F"/>
    <w:rsid w:val="0062560D"/>
    <w:rsid w:val="00630F57"/>
    <w:rsid w:val="00631FA3"/>
    <w:rsid w:val="00633D11"/>
    <w:rsid w:val="00634BE0"/>
    <w:rsid w:val="00634E72"/>
    <w:rsid w:val="0063653F"/>
    <w:rsid w:val="006400AB"/>
    <w:rsid w:val="0064329B"/>
    <w:rsid w:val="00645F62"/>
    <w:rsid w:val="00651770"/>
    <w:rsid w:val="00651BDA"/>
    <w:rsid w:val="00653312"/>
    <w:rsid w:val="00653C06"/>
    <w:rsid w:val="00654A42"/>
    <w:rsid w:val="00655641"/>
    <w:rsid w:val="00664D12"/>
    <w:rsid w:val="00665155"/>
    <w:rsid w:val="0067014D"/>
    <w:rsid w:val="00671705"/>
    <w:rsid w:val="00675739"/>
    <w:rsid w:val="00680AEC"/>
    <w:rsid w:val="006817A3"/>
    <w:rsid w:val="006817C3"/>
    <w:rsid w:val="00682D0C"/>
    <w:rsid w:val="0068541F"/>
    <w:rsid w:val="0069040F"/>
    <w:rsid w:val="006933B8"/>
    <w:rsid w:val="006A23CA"/>
    <w:rsid w:val="006A259E"/>
    <w:rsid w:val="006B4A07"/>
    <w:rsid w:val="006B6C14"/>
    <w:rsid w:val="006B7800"/>
    <w:rsid w:val="006C0A57"/>
    <w:rsid w:val="006C24B0"/>
    <w:rsid w:val="006C67D3"/>
    <w:rsid w:val="006C6AD6"/>
    <w:rsid w:val="006C73CA"/>
    <w:rsid w:val="006D0826"/>
    <w:rsid w:val="006D59AF"/>
    <w:rsid w:val="006D750A"/>
    <w:rsid w:val="006E1004"/>
    <w:rsid w:val="006E29C5"/>
    <w:rsid w:val="006E2AA0"/>
    <w:rsid w:val="006E3109"/>
    <w:rsid w:val="006E6440"/>
    <w:rsid w:val="006F02A5"/>
    <w:rsid w:val="006F0807"/>
    <w:rsid w:val="006F0CDC"/>
    <w:rsid w:val="006F26D1"/>
    <w:rsid w:val="006F2929"/>
    <w:rsid w:val="006F46BE"/>
    <w:rsid w:val="006F5DC4"/>
    <w:rsid w:val="006F6F2C"/>
    <w:rsid w:val="006F6F6F"/>
    <w:rsid w:val="006F78B3"/>
    <w:rsid w:val="00700FBB"/>
    <w:rsid w:val="00703E65"/>
    <w:rsid w:val="007050B1"/>
    <w:rsid w:val="00705A06"/>
    <w:rsid w:val="0070642B"/>
    <w:rsid w:val="00707C83"/>
    <w:rsid w:val="00716EDC"/>
    <w:rsid w:val="00717EA6"/>
    <w:rsid w:val="00723DFA"/>
    <w:rsid w:val="0072567C"/>
    <w:rsid w:val="00730A56"/>
    <w:rsid w:val="00732CE1"/>
    <w:rsid w:val="00734F77"/>
    <w:rsid w:val="00740905"/>
    <w:rsid w:val="00741988"/>
    <w:rsid w:val="0074773C"/>
    <w:rsid w:val="007505C7"/>
    <w:rsid w:val="00750B6C"/>
    <w:rsid w:val="00752A5B"/>
    <w:rsid w:val="00752C51"/>
    <w:rsid w:val="007541B6"/>
    <w:rsid w:val="007574C5"/>
    <w:rsid w:val="00760137"/>
    <w:rsid w:val="00761204"/>
    <w:rsid w:val="00763FCA"/>
    <w:rsid w:val="0077131C"/>
    <w:rsid w:val="00773528"/>
    <w:rsid w:val="00780938"/>
    <w:rsid w:val="00781F8B"/>
    <w:rsid w:val="00791D57"/>
    <w:rsid w:val="007A1806"/>
    <w:rsid w:val="007A215B"/>
    <w:rsid w:val="007A2F53"/>
    <w:rsid w:val="007A3600"/>
    <w:rsid w:val="007A3F75"/>
    <w:rsid w:val="007A4D4E"/>
    <w:rsid w:val="007A62B5"/>
    <w:rsid w:val="007B0E60"/>
    <w:rsid w:val="007B47BA"/>
    <w:rsid w:val="007B7CEF"/>
    <w:rsid w:val="007C22B9"/>
    <w:rsid w:val="007C4E11"/>
    <w:rsid w:val="007C6383"/>
    <w:rsid w:val="007C7D61"/>
    <w:rsid w:val="007D34FB"/>
    <w:rsid w:val="007D49C3"/>
    <w:rsid w:val="007D582F"/>
    <w:rsid w:val="007D6650"/>
    <w:rsid w:val="007D7161"/>
    <w:rsid w:val="007E0BA9"/>
    <w:rsid w:val="007E38BC"/>
    <w:rsid w:val="007E49C3"/>
    <w:rsid w:val="007E51E3"/>
    <w:rsid w:val="007E628C"/>
    <w:rsid w:val="007F024B"/>
    <w:rsid w:val="007F0AC5"/>
    <w:rsid w:val="007F11F4"/>
    <w:rsid w:val="007F169F"/>
    <w:rsid w:val="007F5649"/>
    <w:rsid w:val="007F6FDA"/>
    <w:rsid w:val="007F775E"/>
    <w:rsid w:val="00800396"/>
    <w:rsid w:val="008031A7"/>
    <w:rsid w:val="008122E1"/>
    <w:rsid w:val="008146CC"/>
    <w:rsid w:val="0082150D"/>
    <w:rsid w:val="008215FC"/>
    <w:rsid w:val="00821F3E"/>
    <w:rsid w:val="0082252F"/>
    <w:rsid w:val="00822B38"/>
    <w:rsid w:val="008269C1"/>
    <w:rsid w:val="00826B05"/>
    <w:rsid w:val="00830054"/>
    <w:rsid w:val="008339FA"/>
    <w:rsid w:val="0083406B"/>
    <w:rsid w:val="008421CF"/>
    <w:rsid w:val="00844583"/>
    <w:rsid w:val="008460C9"/>
    <w:rsid w:val="00846527"/>
    <w:rsid w:val="008504F4"/>
    <w:rsid w:val="00851484"/>
    <w:rsid w:val="00853DCA"/>
    <w:rsid w:val="00855300"/>
    <w:rsid w:val="00863760"/>
    <w:rsid w:val="00864461"/>
    <w:rsid w:val="00865DC4"/>
    <w:rsid w:val="0086751C"/>
    <w:rsid w:val="00871351"/>
    <w:rsid w:val="00872B15"/>
    <w:rsid w:val="0087365B"/>
    <w:rsid w:val="00875178"/>
    <w:rsid w:val="0087567D"/>
    <w:rsid w:val="00876634"/>
    <w:rsid w:val="0087786D"/>
    <w:rsid w:val="008831F4"/>
    <w:rsid w:val="008920D9"/>
    <w:rsid w:val="00892139"/>
    <w:rsid w:val="00895AD7"/>
    <w:rsid w:val="00897ADD"/>
    <w:rsid w:val="008A03B3"/>
    <w:rsid w:val="008A62C5"/>
    <w:rsid w:val="008A6F85"/>
    <w:rsid w:val="008B0DA8"/>
    <w:rsid w:val="008B1232"/>
    <w:rsid w:val="008B1520"/>
    <w:rsid w:val="008B5A0B"/>
    <w:rsid w:val="008B67B3"/>
    <w:rsid w:val="008C1B8A"/>
    <w:rsid w:val="008C29D1"/>
    <w:rsid w:val="008C2ED2"/>
    <w:rsid w:val="008D1277"/>
    <w:rsid w:val="008E0AE3"/>
    <w:rsid w:val="008E2F40"/>
    <w:rsid w:val="008E4029"/>
    <w:rsid w:val="008E4F02"/>
    <w:rsid w:val="008F03B3"/>
    <w:rsid w:val="008F255B"/>
    <w:rsid w:val="008F6182"/>
    <w:rsid w:val="008F6EC0"/>
    <w:rsid w:val="00901BB2"/>
    <w:rsid w:val="00904B42"/>
    <w:rsid w:val="009105C7"/>
    <w:rsid w:val="00911052"/>
    <w:rsid w:val="009152A5"/>
    <w:rsid w:val="00916BB4"/>
    <w:rsid w:val="0092068B"/>
    <w:rsid w:val="00920B28"/>
    <w:rsid w:val="00922105"/>
    <w:rsid w:val="009306CC"/>
    <w:rsid w:val="00931AEA"/>
    <w:rsid w:val="00933B70"/>
    <w:rsid w:val="00934DD1"/>
    <w:rsid w:val="00936E7B"/>
    <w:rsid w:val="00937674"/>
    <w:rsid w:val="00941954"/>
    <w:rsid w:val="00942513"/>
    <w:rsid w:val="009439DB"/>
    <w:rsid w:val="0094476D"/>
    <w:rsid w:val="00944D48"/>
    <w:rsid w:val="00945CAA"/>
    <w:rsid w:val="009469CE"/>
    <w:rsid w:val="00946CA3"/>
    <w:rsid w:val="00954242"/>
    <w:rsid w:val="00956023"/>
    <w:rsid w:val="00957A8E"/>
    <w:rsid w:val="009659B6"/>
    <w:rsid w:val="009722E3"/>
    <w:rsid w:val="00974F54"/>
    <w:rsid w:val="00977CF9"/>
    <w:rsid w:val="009808D9"/>
    <w:rsid w:val="00980B24"/>
    <w:rsid w:val="0099058E"/>
    <w:rsid w:val="0099476A"/>
    <w:rsid w:val="00996B78"/>
    <w:rsid w:val="00996ECF"/>
    <w:rsid w:val="0099739F"/>
    <w:rsid w:val="009A026F"/>
    <w:rsid w:val="009A4800"/>
    <w:rsid w:val="009A5A54"/>
    <w:rsid w:val="009B0BA9"/>
    <w:rsid w:val="009B3DBB"/>
    <w:rsid w:val="009B43F6"/>
    <w:rsid w:val="009B5C14"/>
    <w:rsid w:val="009C21BD"/>
    <w:rsid w:val="009C2388"/>
    <w:rsid w:val="009C2795"/>
    <w:rsid w:val="009C5842"/>
    <w:rsid w:val="009C6B1B"/>
    <w:rsid w:val="009C6F80"/>
    <w:rsid w:val="009C70E1"/>
    <w:rsid w:val="009D04D3"/>
    <w:rsid w:val="009D40B1"/>
    <w:rsid w:val="009D4FCF"/>
    <w:rsid w:val="009D799B"/>
    <w:rsid w:val="009E07DB"/>
    <w:rsid w:val="009E29AF"/>
    <w:rsid w:val="009E40E7"/>
    <w:rsid w:val="009E4621"/>
    <w:rsid w:val="009E6FEF"/>
    <w:rsid w:val="009F0691"/>
    <w:rsid w:val="009F2505"/>
    <w:rsid w:val="009F33DE"/>
    <w:rsid w:val="009F3C0C"/>
    <w:rsid w:val="009F7A90"/>
    <w:rsid w:val="00A01811"/>
    <w:rsid w:val="00A05AAB"/>
    <w:rsid w:val="00A0776D"/>
    <w:rsid w:val="00A07A5F"/>
    <w:rsid w:val="00A13093"/>
    <w:rsid w:val="00A134CF"/>
    <w:rsid w:val="00A144DD"/>
    <w:rsid w:val="00A16F3D"/>
    <w:rsid w:val="00A2098D"/>
    <w:rsid w:val="00A21FF4"/>
    <w:rsid w:val="00A22978"/>
    <w:rsid w:val="00A3682B"/>
    <w:rsid w:val="00A3748C"/>
    <w:rsid w:val="00A403B4"/>
    <w:rsid w:val="00A45B10"/>
    <w:rsid w:val="00A4687F"/>
    <w:rsid w:val="00A47ADD"/>
    <w:rsid w:val="00A47B54"/>
    <w:rsid w:val="00A50A67"/>
    <w:rsid w:val="00A579E9"/>
    <w:rsid w:val="00A62299"/>
    <w:rsid w:val="00A62F98"/>
    <w:rsid w:val="00A66859"/>
    <w:rsid w:val="00A67A68"/>
    <w:rsid w:val="00A70FDE"/>
    <w:rsid w:val="00A73A81"/>
    <w:rsid w:val="00A73D3B"/>
    <w:rsid w:val="00A73D58"/>
    <w:rsid w:val="00A80CFF"/>
    <w:rsid w:val="00A826CA"/>
    <w:rsid w:val="00A8371A"/>
    <w:rsid w:val="00A84BAD"/>
    <w:rsid w:val="00A84DD3"/>
    <w:rsid w:val="00A8613A"/>
    <w:rsid w:val="00A94576"/>
    <w:rsid w:val="00AA1D1F"/>
    <w:rsid w:val="00AA27A2"/>
    <w:rsid w:val="00AA4B1E"/>
    <w:rsid w:val="00AA653C"/>
    <w:rsid w:val="00AA65A2"/>
    <w:rsid w:val="00AB110E"/>
    <w:rsid w:val="00AB4D12"/>
    <w:rsid w:val="00AC4471"/>
    <w:rsid w:val="00AC6E4C"/>
    <w:rsid w:val="00AD1851"/>
    <w:rsid w:val="00AE1441"/>
    <w:rsid w:val="00AE1610"/>
    <w:rsid w:val="00AE2E37"/>
    <w:rsid w:val="00AF0DEF"/>
    <w:rsid w:val="00AF13A5"/>
    <w:rsid w:val="00AF1A10"/>
    <w:rsid w:val="00AF1B2B"/>
    <w:rsid w:val="00AF4458"/>
    <w:rsid w:val="00B00622"/>
    <w:rsid w:val="00B006E7"/>
    <w:rsid w:val="00B00AA7"/>
    <w:rsid w:val="00B00DD5"/>
    <w:rsid w:val="00B01205"/>
    <w:rsid w:val="00B01481"/>
    <w:rsid w:val="00B02395"/>
    <w:rsid w:val="00B06CC9"/>
    <w:rsid w:val="00B10B01"/>
    <w:rsid w:val="00B12C0B"/>
    <w:rsid w:val="00B158ED"/>
    <w:rsid w:val="00B1620B"/>
    <w:rsid w:val="00B17A5B"/>
    <w:rsid w:val="00B22561"/>
    <w:rsid w:val="00B236D0"/>
    <w:rsid w:val="00B268D8"/>
    <w:rsid w:val="00B31EDD"/>
    <w:rsid w:val="00B35352"/>
    <w:rsid w:val="00B377E8"/>
    <w:rsid w:val="00B40F05"/>
    <w:rsid w:val="00B42A26"/>
    <w:rsid w:val="00B4385D"/>
    <w:rsid w:val="00B447FB"/>
    <w:rsid w:val="00B44878"/>
    <w:rsid w:val="00B4660C"/>
    <w:rsid w:val="00B469E9"/>
    <w:rsid w:val="00B60D1B"/>
    <w:rsid w:val="00B618A6"/>
    <w:rsid w:val="00B62C17"/>
    <w:rsid w:val="00B642FC"/>
    <w:rsid w:val="00B66A4F"/>
    <w:rsid w:val="00B717A7"/>
    <w:rsid w:val="00B73477"/>
    <w:rsid w:val="00B82EC3"/>
    <w:rsid w:val="00B82F43"/>
    <w:rsid w:val="00B83A55"/>
    <w:rsid w:val="00B8441A"/>
    <w:rsid w:val="00B87774"/>
    <w:rsid w:val="00B933E6"/>
    <w:rsid w:val="00B93E82"/>
    <w:rsid w:val="00B9454F"/>
    <w:rsid w:val="00B95844"/>
    <w:rsid w:val="00BA1D96"/>
    <w:rsid w:val="00BA1F46"/>
    <w:rsid w:val="00BA5BFB"/>
    <w:rsid w:val="00BB13F6"/>
    <w:rsid w:val="00BB2DA0"/>
    <w:rsid w:val="00BB3C76"/>
    <w:rsid w:val="00BB3F91"/>
    <w:rsid w:val="00BC1281"/>
    <w:rsid w:val="00BC1B26"/>
    <w:rsid w:val="00BC1D20"/>
    <w:rsid w:val="00BC2761"/>
    <w:rsid w:val="00BD43FA"/>
    <w:rsid w:val="00BE0977"/>
    <w:rsid w:val="00BE3CD2"/>
    <w:rsid w:val="00C02DBD"/>
    <w:rsid w:val="00C04A4B"/>
    <w:rsid w:val="00C1175E"/>
    <w:rsid w:val="00C176B6"/>
    <w:rsid w:val="00C20A3A"/>
    <w:rsid w:val="00C2307E"/>
    <w:rsid w:val="00C233BE"/>
    <w:rsid w:val="00C24673"/>
    <w:rsid w:val="00C27963"/>
    <w:rsid w:val="00C27B35"/>
    <w:rsid w:val="00C30344"/>
    <w:rsid w:val="00C31E68"/>
    <w:rsid w:val="00C35042"/>
    <w:rsid w:val="00C358AF"/>
    <w:rsid w:val="00C362AC"/>
    <w:rsid w:val="00C37CF7"/>
    <w:rsid w:val="00C42185"/>
    <w:rsid w:val="00C421E3"/>
    <w:rsid w:val="00C4222A"/>
    <w:rsid w:val="00C47043"/>
    <w:rsid w:val="00C472A8"/>
    <w:rsid w:val="00C50601"/>
    <w:rsid w:val="00C513F2"/>
    <w:rsid w:val="00C62197"/>
    <w:rsid w:val="00C64D7C"/>
    <w:rsid w:val="00C67B13"/>
    <w:rsid w:val="00C67ED5"/>
    <w:rsid w:val="00C73B21"/>
    <w:rsid w:val="00C74480"/>
    <w:rsid w:val="00C74D3B"/>
    <w:rsid w:val="00C84EC9"/>
    <w:rsid w:val="00C90560"/>
    <w:rsid w:val="00CA0969"/>
    <w:rsid w:val="00CA0DF0"/>
    <w:rsid w:val="00CA2728"/>
    <w:rsid w:val="00CA35D7"/>
    <w:rsid w:val="00CB1AB0"/>
    <w:rsid w:val="00CB5686"/>
    <w:rsid w:val="00CC210C"/>
    <w:rsid w:val="00CC464A"/>
    <w:rsid w:val="00CC7725"/>
    <w:rsid w:val="00CD09D1"/>
    <w:rsid w:val="00CD4D2D"/>
    <w:rsid w:val="00CE5DD2"/>
    <w:rsid w:val="00CF0132"/>
    <w:rsid w:val="00CF187E"/>
    <w:rsid w:val="00CF26B3"/>
    <w:rsid w:val="00CF2D2F"/>
    <w:rsid w:val="00D03371"/>
    <w:rsid w:val="00D064AB"/>
    <w:rsid w:val="00D1091B"/>
    <w:rsid w:val="00D13114"/>
    <w:rsid w:val="00D131EA"/>
    <w:rsid w:val="00D146A2"/>
    <w:rsid w:val="00D14C99"/>
    <w:rsid w:val="00D16713"/>
    <w:rsid w:val="00D22F04"/>
    <w:rsid w:val="00D25B04"/>
    <w:rsid w:val="00D25CA1"/>
    <w:rsid w:val="00D26141"/>
    <w:rsid w:val="00D3456C"/>
    <w:rsid w:val="00D36404"/>
    <w:rsid w:val="00D37698"/>
    <w:rsid w:val="00D426D9"/>
    <w:rsid w:val="00D42DA5"/>
    <w:rsid w:val="00D44925"/>
    <w:rsid w:val="00D4495B"/>
    <w:rsid w:val="00D4522C"/>
    <w:rsid w:val="00D46135"/>
    <w:rsid w:val="00D46A6C"/>
    <w:rsid w:val="00D51647"/>
    <w:rsid w:val="00D51D27"/>
    <w:rsid w:val="00D5442F"/>
    <w:rsid w:val="00D55C09"/>
    <w:rsid w:val="00D568FE"/>
    <w:rsid w:val="00D61A18"/>
    <w:rsid w:val="00D62F95"/>
    <w:rsid w:val="00D66171"/>
    <w:rsid w:val="00D66C54"/>
    <w:rsid w:val="00D724C0"/>
    <w:rsid w:val="00D7404E"/>
    <w:rsid w:val="00D776D3"/>
    <w:rsid w:val="00D8146C"/>
    <w:rsid w:val="00D81DCE"/>
    <w:rsid w:val="00D8359E"/>
    <w:rsid w:val="00D90007"/>
    <w:rsid w:val="00D92638"/>
    <w:rsid w:val="00D9304F"/>
    <w:rsid w:val="00D95B42"/>
    <w:rsid w:val="00DA234C"/>
    <w:rsid w:val="00DA269B"/>
    <w:rsid w:val="00DA26FC"/>
    <w:rsid w:val="00DA4C6D"/>
    <w:rsid w:val="00DB101E"/>
    <w:rsid w:val="00DB6D87"/>
    <w:rsid w:val="00DC0ADB"/>
    <w:rsid w:val="00DC0DFB"/>
    <w:rsid w:val="00DC5014"/>
    <w:rsid w:val="00DC65BA"/>
    <w:rsid w:val="00DC755E"/>
    <w:rsid w:val="00DD241B"/>
    <w:rsid w:val="00DD45AC"/>
    <w:rsid w:val="00DD5696"/>
    <w:rsid w:val="00DD6793"/>
    <w:rsid w:val="00DE1703"/>
    <w:rsid w:val="00DE377B"/>
    <w:rsid w:val="00DF2C50"/>
    <w:rsid w:val="00E011F6"/>
    <w:rsid w:val="00E05CA2"/>
    <w:rsid w:val="00E066CC"/>
    <w:rsid w:val="00E14202"/>
    <w:rsid w:val="00E156E4"/>
    <w:rsid w:val="00E223F0"/>
    <w:rsid w:val="00E25398"/>
    <w:rsid w:val="00E32837"/>
    <w:rsid w:val="00E3309D"/>
    <w:rsid w:val="00E341AE"/>
    <w:rsid w:val="00E3636A"/>
    <w:rsid w:val="00E379DB"/>
    <w:rsid w:val="00E43658"/>
    <w:rsid w:val="00E44E15"/>
    <w:rsid w:val="00E453FF"/>
    <w:rsid w:val="00E538AE"/>
    <w:rsid w:val="00E545F3"/>
    <w:rsid w:val="00E5595B"/>
    <w:rsid w:val="00E56299"/>
    <w:rsid w:val="00E60899"/>
    <w:rsid w:val="00E6120B"/>
    <w:rsid w:val="00E64BFA"/>
    <w:rsid w:val="00E65F6A"/>
    <w:rsid w:val="00E66763"/>
    <w:rsid w:val="00E7111E"/>
    <w:rsid w:val="00E73EB7"/>
    <w:rsid w:val="00E83BEC"/>
    <w:rsid w:val="00E84636"/>
    <w:rsid w:val="00E849C3"/>
    <w:rsid w:val="00E84E09"/>
    <w:rsid w:val="00E90DCE"/>
    <w:rsid w:val="00E92E2A"/>
    <w:rsid w:val="00E97684"/>
    <w:rsid w:val="00EA17AD"/>
    <w:rsid w:val="00EA4D08"/>
    <w:rsid w:val="00EC1A72"/>
    <w:rsid w:val="00EC4A4B"/>
    <w:rsid w:val="00EC7EF8"/>
    <w:rsid w:val="00ED1DD9"/>
    <w:rsid w:val="00ED25EC"/>
    <w:rsid w:val="00ED4CBD"/>
    <w:rsid w:val="00ED5931"/>
    <w:rsid w:val="00EE2AAE"/>
    <w:rsid w:val="00EE38F8"/>
    <w:rsid w:val="00EE41A2"/>
    <w:rsid w:val="00EF167F"/>
    <w:rsid w:val="00EF25E0"/>
    <w:rsid w:val="00EF5207"/>
    <w:rsid w:val="00EF5D91"/>
    <w:rsid w:val="00EF6148"/>
    <w:rsid w:val="00EF736F"/>
    <w:rsid w:val="00F0067A"/>
    <w:rsid w:val="00F04EA3"/>
    <w:rsid w:val="00F05659"/>
    <w:rsid w:val="00F0651D"/>
    <w:rsid w:val="00F118B2"/>
    <w:rsid w:val="00F12406"/>
    <w:rsid w:val="00F15BFE"/>
    <w:rsid w:val="00F206B9"/>
    <w:rsid w:val="00F45D0B"/>
    <w:rsid w:val="00F473B8"/>
    <w:rsid w:val="00F502EC"/>
    <w:rsid w:val="00F60C70"/>
    <w:rsid w:val="00F61E98"/>
    <w:rsid w:val="00F634DC"/>
    <w:rsid w:val="00F639E4"/>
    <w:rsid w:val="00F649C9"/>
    <w:rsid w:val="00F64A91"/>
    <w:rsid w:val="00F662E3"/>
    <w:rsid w:val="00F709B5"/>
    <w:rsid w:val="00F70B0C"/>
    <w:rsid w:val="00F71DB8"/>
    <w:rsid w:val="00F73B26"/>
    <w:rsid w:val="00F7715D"/>
    <w:rsid w:val="00F809A6"/>
    <w:rsid w:val="00F9251B"/>
    <w:rsid w:val="00F95C00"/>
    <w:rsid w:val="00F96448"/>
    <w:rsid w:val="00F96B4F"/>
    <w:rsid w:val="00F96BEF"/>
    <w:rsid w:val="00FA0DC5"/>
    <w:rsid w:val="00FA2724"/>
    <w:rsid w:val="00FA3C70"/>
    <w:rsid w:val="00FA5291"/>
    <w:rsid w:val="00FA5D0C"/>
    <w:rsid w:val="00FA67C9"/>
    <w:rsid w:val="00FB15BA"/>
    <w:rsid w:val="00FB17FD"/>
    <w:rsid w:val="00FB2AD2"/>
    <w:rsid w:val="00FB4405"/>
    <w:rsid w:val="00FB4E76"/>
    <w:rsid w:val="00FB671A"/>
    <w:rsid w:val="00FB7F39"/>
    <w:rsid w:val="00FC5499"/>
    <w:rsid w:val="00FC5EC0"/>
    <w:rsid w:val="00FE1BBA"/>
    <w:rsid w:val="00FE2769"/>
    <w:rsid w:val="00FE4091"/>
    <w:rsid w:val="00FE46D3"/>
    <w:rsid w:val="00FF1492"/>
    <w:rsid w:val="00FF33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06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627"/>
    <w:rPr>
      <w:rFonts w:ascii="Tahoma" w:hAnsi="Tahoma" w:cs="Tahoma"/>
      <w:sz w:val="16"/>
      <w:szCs w:val="16"/>
    </w:rPr>
  </w:style>
  <w:style w:type="paragraph" w:styleId="Paragraphedeliste">
    <w:name w:val="List Paragraph"/>
    <w:basedOn w:val="Normal"/>
    <w:uiPriority w:val="34"/>
    <w:qFormat/>
    <w:rsid w:val="0031275E"/>
    <w:pPr>
      <w:ind w:left="720"/>
      <w:contextualSpacing/>
    </w:pPr>
  </w:style>
  <w:style w:type="paragraph" w:styleId="NormalWeb">
    <w:name w:val="Normal (Web)"/>
    <w:basedOn w:val="Normal"/>
    <w:uiPriority w:val="99"/>
    <w:unhideWhenUsed/>
    <w:rsid w:val="006172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35352"/>
  </w:style>
  <w:style w:type="character" w:styleId="Lienhypertexte">
    <w:name w:val="Hyperlink"/>
    <w:basedOn w:val="Policepardfaut"/>
    <w:uiPriority w:val="99"/>
    <w:semiHidden/>
    <w:unhideWhenUsed/>
    <w:rsid w:val="00B35352"/>
    <w:rPr>
      <w:color w:val="0000FF"/>
      <w:u w:val="single"/>
    </w:rPr>
  </w:style>
</w:styles>
</file>

<file path=word/webSettings.xml><?xml version="1.0" encoding="utf-8"?>
<w:webSettings xmlns:r="http://schemas.openxmlformats.org/officeDocument/2006/relationships" xmlns:w="http://schemas.openxmlformats.org/wordprocessingml/2006/main">
  <w:divs>
    <w:div w:id="1689600191">
      <w:bodyDiv w:val="1"/>
      <w:marLeft w:val="0"/>
      <w:marRight w:val="0"/>
      <w:marTop w:val="0"/>
      <w:marBottom w:val="0"/>
      <w:divBdr>
        <w:top w:val="none" w:sz="0" w:space="0" w:color="auto"/>
        <w:left w:val="none" w:sz="0" w:space="0" w:color="auto"/>
        <w:bottom w:val="none" w:sz="0" w:space="0" w:color="auto"/>
        <w:right w:val="none" w:sz="0" w:space="0" w:color="auto"/>
      </w:divBdr>
      <w:divsChild>
        <w:div w:id="756679398">
          <w:marLeft w:val="0"/>
          <w:marRight w:val="0"/>
          <w:marTop w:val="0"/>
          <w:marBottom w:val="0"/>
          <w:divBdr>
            <w:top w:val="none" w:sz="0" w:space="0" w:color="auto"/>
            <w:left w:val="none" w:sz="0" w:space="0" w:color="auto"/>
            <w:bottom w:val="none" w:sz="0" w:space="0" w:color="auto"/>
            <w:right w:val="none" w:sz="0" w:space="0" w:color="auto"/>
          </w:divBdr>
        </w:div>
        <w:div w:id="923799383">
          <w:marLeft w:val="0"/>
          <w:marRight w:val="0"/>
          <w:marTop w:val="0"/>
          <w:marBottom w:val="0"/>
          <w:divBdr>
            <w:top w:val="none" w:sz="0" w:space="0" w:color="auto"/>
            <w:left w:val="none" w:sz="0" w:space="0" w:color="auto"/>
            <w:bottom w:val="none" w:sz="0" w:space="0" w:color="auto"/>
            <w:right w:val="none" w:sz="0" w:space="0" w:color="auto"/>
          </w:divBdr>
        </w:div>
        <w:div w:id="381290801">
          <w:marLeft w:val="0"/>
          <w:marRight w:val="0"/>
          <w:marTop w:val="0"/>
          <w:marBottom w:val="0"/>
          <w:divBdr>
            <w:top w:val="none" w:sz="0" w:space="0" w:color="auto"/>
            <w:left w:val="none" w:sz="0" w:space="0" w:color="auto"/>
            <w:bottom w:val="none" w:sz="0" w:space="0" w:color="auto"/>
            <w:right w:val="none" w:sz="0" w:space="0" w:color="auto"/>
          </w:divBdr>
        </w:div>
        <w:div w:id="1304775868">
          <w:marLeft w:val="0"/>
          <w:marRight w:val="0"/>
          <w:marTop w:val="0"/>
          <w:marBottom w:val="0"/>
          <w:divBdr>
            <w:top w:val="none" w:sz="0" w:space="0" w:color="auto"/>
            <w:left w:val="none" w:sz="0" w:space="0" w:color="auto"/>
            <w:bottom w:val="none" w:sz="0" w:space="0" w:color="auto"/>
            <w:right w:val="none" w:sz="0" w:space="0" w:color="auto"/>
          </w:divBdr>
          <w:divsChild>
            <w:div w:id="553657662">
              <w:marLeft w:val="0"/>
              <w:marRight w:val="0"/>
              <w:marTop w:val="0"/>
              <w:marBottom w:val="0"/>
              <w:divBdr>
                <w:top w:val="none" w:sz="0" w:space="0" w:color="auto"/>
                <w:left w:val="none" w:sz="0" w:space="0" w:color="auto"/>
                <w:bottom w:val="none" w:sz="0" w:space="0" w:color="auto"/>
                <w:right w:val="none" w:sz="0" w:space="0" w:color="auto"/>
              </w:divBdr>
            </w:div>
            <w:div w:id="1189872584">
              <w:marLeft w:val="0"/>
              <w:marRight w:val="0"/>
              <w:marTop w:val="0"/>
              <w:marBottom w:val="0"/>
              <w:divBdr>
                <w:top w:val="none" w:sz="0" w:space="0" w:color="auto"/>
                <w:left w:val="none" w:sz="0" w:space="0" w:color="auto"/>
                <w:bottom w:val="none" w:sz="0" w:space="0" w:color="auto"/>
                <w:right w:val="none" w:sz="0" w:space="0" w:color="auto"/>
              </w:divBdr>
            </w:div>
            <w:div w:id="472916438">
              <w:marLeft w:val="0"/>
              <w:marRight w:val="0"/>
              <w:marTop w:val="0"/>
              <w:marBottom w:val="0"/>
              <w:divBdr>
                <w:top w:val="none" w:sz="0" w:space="0" w:color="auto"/>
                <w:left w:val="none" w:sz="0" w:space="0" w:color="auto"/>
                <w:bottom w:val="none" w:sz="0" w:space="0" w:color="auto"/>
                <w:right w:val="none" w:sz="0" w:space="0" w:color="auto"/>
              </w:divBdr>
            </w:div>
            <w:div w:id="2360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0287">
      <w:bodyDiv w:val="1"/>
      <w:marLeft w:val="0"/>
      <w:marRight w:val="0"/>
      <w:marTop w:val="0"/>
      <w:marBottom w:val="0"/>
      <w:divBdr>
        <w:top w:val="none" w:sz="0" w:space="0" w:color="auto"/>
        <w:left w:val="none" w:sz="0" w:space="0" w:color="auto"/>
        <w:bottom w:val="none" w:sz="0" w:space="0" w:color="auto"/>
        <w:right w:val="none" w:sz="0" w:space="0" w:color="auto"/>
      </w:divBdr>
      <w:divsChild>
        <w:div w:id="593057535">
          <w:marLeft w:val="0"/>
          <w:marRight w:val="0"/>
          <w:marTop w:val="0"/>
          <w:marBottom w:val="0"/>
          <w:divBdr>
            <w:top w:val="none" w:sz="0" w:space="0" w:color="auto"/>
            <w:left w:val="none" w:sz="0" w:space="0" w:color="auto"/>
            <w:bottom w:val="none" w:sz="0" w:space="0" w:color="auto"/>
            <w:right w:val="none" w:sz="0" w:space="0" w:color="auto"/>
          </w:divBdr>
        </w:div>
        <w:div w:id="413212666">
          <w:marLeft w:val="0"/>
          <w:marRight w:val="0"/>
          <w:marTop w:val="0"/>
          <w:marBottom w:val="0"/>
          <w:divBdr>
            <w:top w:val="none" w:sz="0" w:space="0" w:color="auto"/>
            <w:left w:val="none" w:sz="0" w:space="0" w:color="auto"/>
            <w:bottom w:val="none" w:sz="0" w:space="0" w:color="auto"/>
            <w:right w:val="none" w:sz="0" w:space="0" w:color="auto"/>
          </w:divBdr>
        </w:div>
        <w:div w:id="1221330041">
          <w:marLeft w:val="0"/>
          <w:marRight w:val="0"/>
          <w:marTop w:val="0"/>
          <w:marBottom w:val="0"/>
          <w:divBdr>
            <w:top w:val="none" w:sz="0" w:space="0" w:color="auto"/>
            <w:left w:val="none" w:sz="0" w:space="0" w:color="auto"/>
            <w:bottom w:val="none" w:sz="0" w:space="0" w:color="auto"/>
            <w:right w:val="none" w:sz="0" w:space="0" w:color="auto"/>
          </w:divBdr>
        </w:div>
        <w:div w:id="2821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ymnospermes" TargetMode="External"/><Relationship Id="rId18" Type="http://schemas.openxmlformats.org/officeDocument/2006/relationships/hyperlink" Target="https://fr.wikipedia.org/wiki/Triplo%C3%AFde" TargetMode="External"/><Relationship Id="rId26" Type="http://schemas.openxmlformats.org/officeDocument/2006/relationships/hyperlink" Target="https://fr.wikipedia.org/wiki/Micropyle" TargetMode="External"/><Relationship Id="rId39" Type="http://schemas.openxmlformats.org/officeDocument/2006/relationships/hyperlink" Target="https://fr.wikipedia.org/wiki/Embryon" TargetMode="External"/><Relationship Id="rId3" Type="http://schemas.openxmlformats.org/officeDocument/2006/relationships/settings" Target="settings.xml"/><Relationship Id="rId21" Type="http://schemas.openxmlformats.org/officeDocument/2006/relationships/hyperlink" Target="https://fr.wikipedia.org/wiki/Endoderme" TargetMode="External"/><Relationship Id="rId34" Type="http://schemas.openxmlformats.org/officeDocument/2006/relationships/image" Target="media/image2.png"/><Relationship Id="rId42" Type="http://schemas.openxmlformats.org/officeDocument/2006/relationships/image" Target="media/image5.png"/><Relationship Id="rId47" Type="http://schemas.openxmlformats.org/officeDocument/2006/relationships/image" Target="media/image10.png"/><Relationship Id="rId7" Type="http://schemas.openxmlformats.org/officeDocument/2006/relationships/hyperlink" Target="https://fr.wikipedia.org/wiki/Sporophyte" TargetMode="External"/><Relationship Id="rId12" Type="http://schemas.openxmlformats.org/officeDocument/2006/relationships/hyperlink" Target="https://fr.wikipedia.org/wiki/Embryon" TargetMode="External"/><Relationship Id="rId17" Type="http://schemas.openxmlformats.org/officeDocument/2006/relationships/hyperlink" Target="https://fr.wikipedia.org/wiki/Albumen" TargetMode="External"/><Relationship Id="rId25" Type="http://schemas.openxmlformats.org/officeDocument/2006/relationships/hyperlink" Target="https://fr.wikipedia.org/wiki/Cotyl%C3%A9don" TargetMode="External"/><Relationship Id="rId33" Type="http://schemas.openxmlformats.org/officeDocument/2006/relationships/hyperlink" Target="https://commons.wikimedia.org/wiki/File:Budowa_nasienia-dwuliscienne.png?uselang=fr" TargetMode="External"/><Relationship Id="rId38" Type="http://schemas.openxmlformats.org/officeDocument/2006/relationships/hyperlink" Target="https://fr.wikipedia.org/wiki/Albumen" TargetMode="External"/><Relationship Id="rId46"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fr.wikipedia.org/wiki/Angiospermes" TargetMode="External"/><Relationship Id="rId20" Type="http://schemas.openxmlformats.org/officeDocument/2006/relationships/hyperlink" Target="https://fr.wikipedia.org/wiki/Pollen" TargetMode="External"/><Relationship Id="rId29" Type="http://schemas.openxmlformats.org/officeDocument/2006/relationships/hyperlink" Target="https://fr.wikipedia.org/wiki/Gemmule"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fr.wikipedia.org/wiki/F%C3%A9condation" TargetMode="External"/><Relationship Id="rId11" Type="http://schemas.openxmlformats.org/officeDocument/2006/relationships/hyperlink" Target="https://fr.wikipedia.org/wiki/T%C3%A9gument_(botanique)" TargetMode="External"/><Relationship Id="rId24" Type="http://schemas.openxmlformats.org/officeDocument/2006/relationships/hyperlink" Target="https://fr.wikipedia.org/wiki/Ch%C3%A9nopodiac%C3%A9es" TargetMode="External"/><Relationship Id="rId32" Type="http://schemas.openxmlformats.org/officeDocument/2006/relationships/hyperlink" Target="https://fr.wikipedia.org/wiki/Cotyl%C3%A9don" TargetMode="External"/><Relationship Id="rId37" Type="http://schemas.openxmlformats.org/officeDocument/2006/relationships/hyperlink" Target="https://fr.wikipedia.org/wiki/T%C3%A9gument_(botanique)" TargetMode="External"/><Relationship Id="rId40" Type="http://schemas.openxmlformats.org/officeDocument/2006/relationships/image" Target="media/image3.png"/><Relationship Id="rId45" Type="http://schemas.openxmlformats.org/officeDocument/2006/relationships/image" Target="media/image8.png"/><Relationship Id="rId5" Type="http://schemas.openxmlformats.org/officeDocument/2006/relationships/hyperlink" Target="https://fr.wikipedia.org/wiki/Ovule_(botanique)" TargetMode="External"/><Relationship Id="rId15" Type="http://schemas.openxmlformats.org/officeDocument/2006/relationships/hyperlink" Target="https://fr.wikipedia.org/wiki/Haplo%C3%AFde" TargetMode="External"/><Relationship Id="rId23" Type="http://schemas.openxmlformats.org/officeDocument/2006/relationships/hyperlink" Target="https://fr.wikipedia.org/wiki/Nucelle" TargetMode="External"/><Relationship Id="rId28" Type="http://schemas.openxmlformats.org/officeDocument/2006/relationships/hyperlink" Target="https://fr.wikipedia.org/wiki/Pollinisation" TargetMode="External"/><Relationship Id="rId36" Type="http://schemas.openxmlformats.org/officeDocument/2006/relationships/hyperlink" Target="https://fr.wikipedia.org/wiki/Dicotyl%C3%A9don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r.wikipedia.org/wiki/Anth%C3%A9rozo%C3%AFde" TargetMode="External"/><Relationship Id="rId31" Type="http://schemas.openxmlformats.org/officeDocument/2006/relationships/hyperlink" Target="https://fr.wikipedia.org/wiki/Radicule" TargetMode="External"/><Relationship Id="rId44"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fr.wikipedia.org/wiki/Sporophyte" TargetMode="External"/><Relationship Id="rId14" Type="http://schemas.openxmlformats.org/officeDocument/2006/relationships/hyperlink" Target="https://fr.wikipedia.org/wiki/Endosperme" TargetMode="External"/><Relationship Id="rId22" Type="http://schemas.openxmlformats.org/officeDocument/2006/relationships/hyperlink" Target="https://fr.wikipedia.org/wiki/Diplo%C3%AFde" TargetMode="External"/><Relationship Id="rId27" Type="http://schemas.openxmlformats.org/officeDocument/2006/relationships/hyperlink" Target="https://fr.wikipedia.org/wiki/Tube_pollinique" TargetMode="External"/><Relationship Id="rId30" Type="http://schemas.openxmlformats.org/officeDocument/2006/relationships/hyperlink" Target="https://fr.wikipedia.org/wiki/Tigelle" TargetMode="External"/><Relationship Id="rId35" Type="http://schemas.openxmlformats.org/officeDocument/2006/relationships/hyperlink" Target="https://fr.wikipedia.org/wiki/Angiosperme"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hyperlink" Target="https://fr.wikipedia.org/wiki/Gam%C3%A9tophy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10367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dcterms:created xsi:type="dcterms:W3CDTF">2017-10-16T08:06:00Z</dcterms:created>
  <dcterms:modified xsi:type="dcterms:W3CDTF">2017-10-16T08:06:00Z</dcterms:modified>
</cp:coreProperties>
</file>